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46" w:rsidRDefault="00627846" w:rsidP="003D220C">
      <w:pPr>
        <w:pStyle w:val="a3"/>
        <w:tabs>
          <w:tab w:val="clear" w:pos="4153"/>
          <w:tab w:val="clear" w:pos="8306"/>
        </w:tabs>
        <w:spacing w:line="360" w:lineRule="auto"/>
        <w:rPr>
          <w:rFonts w:hint="cs"/>
        </w:rPr>
      </w:pPr>
    </w:p>
    <w:p w:rsidR="00627846" w:rsidRDefault="00627846" w:rsidP="00627846">
      <w:pPr>
        <w:pStyle w:val="a3"/>
        <w:tabs>
          <w:tab w:val="clear" w:pos="4153"/>
          <w:tab w:val="clear" w:pos="8306"/>
        </w:tabs>
        <w:spacing w:line="360" w:lineRule="auto"/>
        <w:jc w:val="right"/>
        <w:rPr>
          <w:rFonts w:hint="cs"/>
          <w:rtl/>
        </w:rPr>
      </w:pPr>
      <w:r>
        <w:rPr>
          <w:rFonts w:hint="cs"/>
          <w:rtl/>
        </w:rPr>
        <w:t>תאריך:- 04 נובמבר 2012</w:t>
      </w:r>
    </w:p>
    <w:p w:rsidR="00627846" w:rsidRDefault="00627846" w:rsidP="003D220C">
      <w:pPr>
        <w:pStyle w:val="a3"/>
        <w:tabs>
          <w:tab w:val="clear" w:pos="4153"/>
          <w:tab w:val="clear" w:pos="8306"/>
        </w:tabs>
        <w:spacing w:line="360" w:lineRule="auto"/>
        <w:rPr>
          <w:rFonts w:hint="cs"/>
          <w:rtl/>
        </w:rPr>
      </w:pPr>
    </w:p>
    <w:p w:rsidR="00627846" w:rsidRDefault="00627846" w:rsidP="003D220C">
      <w:pPr>
        <w:pStyle w:val="a3"/>
        <w:tabs>
          <w:tab w:val="clear" w:pos="4153"/>
          <w:tab w:val="clear" w:pos="8306"/>
        </w:tabs>
        <w:spacing w:line="360" w:lineRule="auto"/>
        <w:rPr>
          <w:rFonts w:hint="cs"/>
          <w:rtl/>
        </w:rPr>
      </w:pPr>
    </w:p>
    <w:p w:rsidR="00627846" w:rsidRDefault="00627846" w:rsidP="003D220C">
      <w:pPr>
        <w:pStyle w:val="a3"/>
        <w:tabs>
          <w:tab w:val="clear" w:pos="4153"/>
          <w:tab w:val="clear" w:pos="8306"/>
        </w:tabs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הנדון:- </w:t>
      </w:r>
      <w:r w:rsidRPr="00627846">
        <w:rPr>
          <w:rFonts w:hint="cs"/>
          <w:u w:val="single"/>
          <w:rtl/>
        </w:rPr>
        <w:t>סיכום בקרה מחלקה פסיכיאטרית בביה"ח ברזילאי אשקלון</w:t>
      </w:r>
    </w:p>
    <w:p w:rsidR="00627846" w:rsidRDefault="00627846" w:rsidP="003D220C">
      <w:pPr>
        <w:pStyle w:val="a3"/>
        <w:tabs>
          <w:tab w:val="clear" w:pos="4153"/>
          <w:tab w:val="clear" w:pos="8306"/>
        </w:tabs>
        <w:spacing w:line="360" w:lineRule="auto"/>
        <w:rPr>
          <w:rFonts w:hint="cs"/>
          <w:rtl/>
        </w:rPr>
      </w:pPr>
    </w:p>
    <w:p w:rsidR="00627846" w:rsidRDefault="00627846" w:rsidP="003D220C">
      <w:pPr>
        <w:pStyle w:val="a3"/>
        <w:tabs>
          <w:tab w:val="clear" w:pos="4153"/>
          <w:tab w:val="clear" w:pos="8306"/>
        </w:tabs>
        <w:spacing w:line="360" w:lineRule="auto"/>
        <w:rPr>
          <w:rFonts w:hint="cs"/>
          <w:rtl/>
        </w:rPr>
      </w:pPr>
      <w:r>
        <w:rPr>
          <w:rFonts w:hint="cs"/>
          <w:rtl/>
        </w:rPr>
        <w:t>תאריך ביצוע הבקרה :- 14/10/12</w:t>
      </w:r>
    </w:p>
    <w:p w:rsidR="00627846" w:rsidRDefault="00627846" w:rsidP="003D220C">
      <w:pPr>
        <w:pStyle w:val="a3"/>
        <w:tabs>
          <w:tab w:val="clear" w:pos="4153"/>
          <w:tab w:val="clear" w:pos="8306"/>
        </w:tabs>
        <w:spacing w:line="360" w:lineRule="auto"/>
        <w:rPr>
          <w:rFonts w:hint="cs"/>
          <w:rtl/>
        </w:rPr>
      </w:pPr>
    </w:p>
    <w:p w:rsidR="00627846" w:rsidRPr="00627846" w:rsidRDefault="00627846" w:rsidP="00627846">
      <w:pPr>
        <w:spacing w:after="200" w:line="276" w:lineRule="auto"/>
        <w:rPr>
          <w:rFonts w:asciiTheme="minorHAnsi" w:hAnsiTheme="minorHAnsi"/>
          <w:sz w:val="22"/>
          <w:rtl/>
          <w:lang w:eastAsia="en-US"/>
        </w:rPr>
      </w:pPr>
      <w:r w:rsidRPr="00627846">
        <w:rPr>
          <w:rFonts w:asciiTheme="minorHAnsi" w:hAnsiTheme="minorHAnsi" w:hint="eastAsia"/>
          <w:sz w:val="22"/>
          <w:rtl/>
          <w:lang w:eastAsia="en-US"/>
        </w:rPr>
        <w:t>במחלקה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הפסיכיאטרית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יש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מנהלת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שירות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סוציאלי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cs"/>
          <w:sz w:val="22"/>
          <w:rtl/>
          <w:lang w:eastAsia="en-US"/>
        </w:rPr>
        <w:t>לברה"נ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ועו</w:t>
      </w:r>
      <w:r w:rsidRPr="00627846">
        <w:rPr>
          <w:rFonts w:asciiTheme="minorHAnsi" w:hAnsiTheme="minorHAnsi"/>
          <w:sz w:val="22"/>
          <w:rtl/>
          <w:lang w:eastAsia="en-US"/>
        </w:rPr>
        <w:t>"</w:t>
      </w:r>
      <w:r w:rsidRPr="00627846">
        <w:rPr>
          <w:rFonts w:asciiTheme="minorHAnsi" w:hAnsiTheme="minorHAnsi" w:hint="eastAsia"/>
          <w:sz w:val="22"/>
          <w:rtl/>
          <w:lang w:eastAsia="en-US"/>
        </w:rPr>
        <w:t>ס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ב</w:t>
      </w:r>
      <w:r w:rsidRPr="00627846">
        <w:rPr>
          <w:rFonts w:asciiTheme="minorHAnsi" w:hAnsiTheme="minorHAnsi"/>
          <w:sz w:val="22"/>
          <w:rtl/>
          <w:lang w:eastAsia="en-US"/>
        </w:rPr>
        <w:t>-75%.</w:t>
      </w:r>
    </w:p>
    <w:p w:rsidR="00627846" w:rsidRPr="00627846" w:rsidRDefault="00627846" w:rsidP="00627846">
      <w:pPr>
        <w:pStyle w:val="a3"/>
        <w:tabs>
          <w:tab w:val="clear" w:pos="4153"/>
          <w:tab w:val="clear" w:pos="8306"/>
        </w:tabs>
        <w:spacing w:line="360" w:lineRule="auto"/>
        <w:rPr>
          <w:rFonts w:hint="cs"/>
          <w:rtl/>
        </w:rPr>
      </w:pPr>
      <w:r w:rsidRPr="00627846">
        <w:rPr>
          <w:rFonts w:asciiTheme="minorHAnsi" w:hAnsiTheme="minorHAnsi" w:hint="eastAsia"/>
          <w:sz w:val="22"/>
          <w:rtl/>
          <w:lang w:eastAsia="en-US"/>
        </w:rPr>
        <w:t>היה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שיתוף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פעולה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מלא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מצד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צוות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המחלקה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דבר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שהקל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מאוד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על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ביצוע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הבקרה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על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הצד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הטוב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ביותר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.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וברצוננו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לציין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עבודה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יפה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שמבצע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הצוות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הסיעודי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המשקיע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מעל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ומעבר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בלימודים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,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כנסים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,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מחקרים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,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וכו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'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כדי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לשפר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את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השירות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הניתן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למטופלים</w:t>
      </w:r>
      <w:r w:rsidRPr="00627846">
        <w:rPr>
          <w:rFonts w:asciiTheme="minorHAnsi" w:hAnsiTheme="minorHAnsi"/>
          <w:sz w:val="22"/>
          <w:rtl/>
          <w:lang w:eastAsia="en-US"/>
        </w:rPr>
        <w:t>.</w:t>
      </w:r>
    </w:p>
    <w:p w:rsidR="00627846" w:rsidRPr="00627846" w:rsidRDefault="00627846" w:rsidP="00627846">
      <w:pPr>
        <w:spacing w:after="200" w:line="276" w:lineRule="auto"/>
        <w:rPr>
          <w:rFonts w:asciiTheme="minorHAnsi" w:hAnsiTheme="minorHAnsi"/>
          <w:sz w:val="22"/>
          <w:rtl/>
          <w:lang w:eastAsia="en-US"/>
        </w:rPr>
      </w:pPr>
      <w:r w:rsidRPr="00627846">
        <w:rPr>
          <w:rFonts w:asciiTheme="minorHAnsi" w:hAnsiTheme="minorHAnsi" w:hint="eastAsia"/>
          <w:sz w:val="22"/>
          <w:rtl/>
          <w:lang w:eastAsia="en-US"/>
        </w:rPr>
        <w:t>תיקי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החולים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שנבדקו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נמצאו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cs"/>
          <w:sz w:val="22"/>
          <w:rtl/>
          <w:lang w:eastAsia="en-US"/>
        </w:rPr>
        <w:t>בד"כ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מסודרים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.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טפסי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proofErr w:type="spellStart"/>
      <w:r w:rsidRPr="00627846">
        <w:rPr>
          <w:rFonts w:asciiTheme="minorHAnsi" w:hAnsiTheme="minorHAnsi" w:hint="eastAsia"/>
          <w:sz w:val="22"/>
          <w:rtl/>
          <w:lang w:eastAsia="en-US"/>
        </w:rPr>
        <w:t>האינטייק</w:t>
      </w:r>
      <w:proofErr w:type="spellEnd"/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חתומים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אך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ללא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חותמת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,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שמקשה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להבין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בידי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מי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נכתב</w:t>
      </w:r>
      <w:r w:rsidRPr="00627846">
        <w:rPr>
          <w:rFonts w:asciiTheme="minorHAnsi" w:hAnsiTheme="minorHAnsi"/>
          <w:sz w:val="22"/>
          <w:rtl/>
          <w:lang w:eastAsia="en-US"/>
        </w:rPr>
        <w:t>.</w:t>
      </w:r>
    </w:p>
    <w:p w:rsidR="00627846" w:rsidRPr="00627846" w:rsidRDefault="00627846" w:rsidP="00627846">
      <w:pPr>
        <w:pStyle w:val="a3"/>
        <w:tabs>
          <w:tab w:val="clear" w:pos="4153"/>
          <w:tab w:val="clear" w:pos="8306"/>
        </w:tabs>
        <w:spacing w:line="360" w:lineRule="auto"/>
        <w:rPr>
          <w:rFonts w:hint="cs"/>
        </w:rPr>
      </w:pPr>
      <w:r w:rsidRPr="00627846">
        <w:rPr>
          <w:rFonts w:asciiTheme="minorHAnsi" w:hAnsiTheme="minorHAnsi" w:hint="eastAsia"/>
          <w:sz w:val="22"/>
          <w:rtl/>
          <w:lang w:eastAsia="en-US"/>
        </w:rPr>
        <w:t>ישנה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תפוסה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מלאה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של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תקנים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של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הרופאים</w:t>
      </w:r>
      <w:r w:rsidRPr="00627846">
        <w:rPr>
          <w:rFonts w:asciiTheme="minorHAnsi" w:hAnsiTheme="minorHAnsi"/>
          <w:sz w:val="22"/>
          <w:rtl/>
          <w:lang w:eastAsia="en-US"/>
        </w:rPr>
        <w:t>.</w:t>
      </w:r>
    </w:p>
    <w:p w:rsidR="00627846" w:rsidRPr="00627846" w:rsidRDefault="00627846" w:rsidP="00627846">
      <w:pPr>
        <w:spacing w:after="200" w:line="276" w:lineRule="auto"/>
        <w:rPr>
          <w:rFonts w:asciiTheme="minorHAnsi" w:hAnsiTheme="minorHAnsi"/>
          <w:sz w:val="22"/>
          <w:rtl/>
          <w:lang w:eastAsia="en-US"/>
        </w:rPr>
      </w:pPr>
      <w:r w:rsidRPr="00627846">
        <w:rPr>
          <w:rFonts w:asciiTheme="minorHAnsi" w:hAnsiTheme="minorHAnsi" w:hint="eastAsia"/>
          <w:sz w:val="22"/>
          <w:rtl/>
          <w:lang w:eastAsia="en-US"/>
        </w:rPr>
        <w:t>העבודה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מתנהלת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באופן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מסודר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וניכר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מאוד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ניסיונה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הרב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של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מנהלת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השירות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הסוציאלי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.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העבודה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מגובה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בהדרכה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שוטפת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,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יש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חומר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מקצועי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מספק</w:t>
      </w:r>
      <w:r w:rsidRPr="00627846">
        <w:rPr>
          <w:rFonts w:asciiTheme="minorHAnsi" w:hAnsiTheme="minorHAnsi"/>
          <w:sz w:val="22"/>
          <w:rtl/>
          <w:lang w:eastAsia="en-US"/>
        </w:rPr>
        <w:t>.</w:t>
      </w:r>
    </w:p>
    <w:p w:rsidR="00627846" w:rsidRPr="00627846" w:rsidRDefault="00627846" w:rsidP="00627846">
      <w:pPr>
        <w:spacing w:after="200" w:line="276" w:lineRule="auto"/>
        <w:rPr>
          <w:rFonts w:asciiTheme="minorHAnsi" w:hAnsiTheme="minorHAnsi"/>
          <w:sz w:val="22"/>
          <w:rtl/>
          <w:lang w:eastAsia="en-US"/>
        </w:rPr>
      </w:pPr>
      <w:r w:rsidRPr="00627846">
        <w:rPr>
          <w:rFonts w:asciiTheme="minorHAnsi" w:hAnsiTheme="minorHAnsi" w:hint="eastAsia"/>
          <w:sz w:val="22"/>
          <w:rtl/>
          <w:lang w:eastAsia="en-US"/>
        </w:rPr>
        <w:t>אנו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מתרשמים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כי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העו</w:t>
      </w:r>
      <w:r w:rsidRPr="00627846">
        <w:rPr>
          <w:rFonts w:asciiTheme="minorHAnsi" w:hAnsiTheme="minorHAnsi"/>
          <w:sz w:val="22"/>
          <w:rtl/>
          <w:lang w:eastAsia="en-US"/>
        </w:rPr>
        <w:t>"</w:t>
      </w:r>
      <w:r w:rsidRPr="00627846">
        <w:rPr>
          <w:rFonts w:asciiTheme="minorHAnsi" w:hAnsiTheme="minorHAnsi" w:hint="eastAsia"/>
          <w:sz w:val="22"/>
          <w:rtl/>
          <w:lang w:eastAsia="en-US"/>
        </w:rPr>
        <w:t>ס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עובדת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באופן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התואם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את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דרכי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המאושפזים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ובני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משפחותיהם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והמענים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להם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זקוקים</w:t>
      </w:r>
      <w:r w:rsidRPr="00627846">
        <w:rPr>
          <w:rFonts w:asciiTheme="minorHAnsi" w:hAnsiTheme="minorHAnsi"/>
          <w:sz w:val="22"/>
          <w:rtl/>
          <w:lang w:eastAsia="en-US"/>
        </w:rPr>
        <w:t>.</w:t>
      </w:r>
    </w:p>
    <w:p w:rsidR="00627846" w:rsidRDefault="00627846" w:rsidP="00627846">
      <w:pPr>
        <w:pStyle w:val="a3"/>
        <w:tabs>
          <w:tab w:val="clear" w:pos="4153"/>
          <w:tab w:val="clear" w:pos="8306"/>
        </w:tabs>
        <w:spacing w:line="360" w:lineRule="auto"/>
        <w:rPr>
          <w:rFonts w:hint="cs"/>
        </w:rPr>
      </w:pPr>
      <w:r w:rsidRPr="00627846">
        <w:rPr>
          <w:rFonts w:asciiTheme="minorHAnsi" w:hAnsiTheme="minorHAnsi" w:hint="eastAsia"/>
          <w:sz w:val="22"/>
          <w:rtl/>
          <w:lang w:eastAsia="en-US"/>
        </w:rPr>
        <w:t>המקום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משרה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אוירה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נחמדה</w:t>
      </w:r>
      <w:r w:rsidRPr="00627846">
        <w:rPr>
          <w:rFonts w:asciiTheme="minorHAnsi" w:hAnsiTheme="minorHAnsi"/>
          <w:sz w:val="22"/>
          <w:rtl/>
          <w:lang w:eastAsia="en-US"/>
        </w:rPr>
        <w:t xml:space="preserve"> </w:t>
      </w:r>
      <w:r w:rsidRPr="00627846">
        <w:rPr>
          <w:rFonts w:asciiTheme="minorHAnsi" w:hAnsiTheme="minorHAnsi" w:hint="eastAsia"/>
          <w:sz w:val="22"/>
          <w:rtl/>
          <w:lang w:eastAsia="en-US"/>
        </w:rPr>
        <w:t>וטיפולית</w:t>
      </w:r>
      <w:r w:rsidRPr="00627846">
        <w:rPr>
          <w:rFonts w:asciiTheme="minorHAnsi" w:hAnsiTheme="minorHAnsi" w:cs="David"/>
          <w:sz w:val="22"/>
          <w:rtl/>
          <w:lang w:eastAsia="en-US"/>
        </w:rPr>
        <w:t>.</w:t>
      </w:r>
    </w:p>
    <w:sectPr w:rsidR="00627846" w:rsidSect="00627846">
      <w:headerReference w:type="default" r:id="rId6"/>
      <w:footerReference w:type="default" r:id="rId7"/>
      <w:endnotePr>
        <w:numFmt w:val="lowerLetter"/>
      </w:endnotePr>
      <w:pgSz w:w="11906" w:h="16838"/>
      <w:pgMar w:top="2552" w:right="1247" w:bottom="2495" w:left="709" w:header="284" w:footer="2281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846" w:rsidRDefault="00627846">
      <w:r>
        <w:separator/>
      </w:r>
    </w:p>
  </w:endnote>
  <w:endnote w:type="continuationSeparator" w:id="1">
    <w:p w:rsidR="00627846" w:rsidRDefault="0062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0C" w:rsidRDefault="003D220C">
    <w:pPr>
      <w:pStyle w:val="a4"/>
      <w:rPr>
        <w:rtl/>
      </w:rPr>
    </w:pPr>
    <w:r>
      <w:rPr>
        <w:rtl/>
      </w:rPr>
      <w:pict>
        <v:roundrect id="_x0000_s2050" style="position:absolute;left:0;text-align:left;margin-left:-21.05pt;margin-top:18.55pt;width:554.4pt;height:64.8pt;z-index:251657216" arcsize="10923f" o:allowincell="f">
          <v:shadow on="t"/>
          <v:textbox style="mso-next-textbox:#_x0000_s2050">
            <w:txbxContent>
              <w:p w:rsidR="003D220C" w:rsidRDefault="003D220C">
                <w:pPr>
                  <w:pStyle w:val="a4"/>
                  <w:pBdr>
                    <w:top w:val="single" w:sz="6" w:space="7" w:color="auto"/>
                  </w:pBdr>
                  <w:jc w:val="center"/>
                  <w:rPr>
                    <w:rFonts w:cs="David"/>
                    <w:b/>
                    <w:bCs/>
                    <w:sz w:val="24"/>
                    <w:szCs w:val="26"/>
                    <w:u w:val="single"/>
                    <w:rtl/>
                  </w:rPr>
                </w:pPr>
                <w:r>
                  <w:rPr>
                    <w:rFonts w:cs="David" w:hint="cs"/>
                    <w:b/>
                    <w:bCs/>
                    <w:sz w:val="24"/>
                    <w:szCs w:val="26"/>
                    <w:u w:val="single"/>
                    <w:rtl/>
                  </w:rPr>
                  <w:t xml:space="preserve">קריית הממשלה </w:t>
                </w:r>
                <w:proofErr w:type="spellStart"/>
                <w:r>
                  <w:rPr>
                    <w:rFonts w:cs="David" w:hint="cs"/>
                    <w:b/>
                    <w:bCs/>
                    <w:sz w:val="24"/>
                    <w:szCs w:val="26"/>
                    <w:u w:val="single"/>
                    <w:rtl/>
                  </w:rPr>
                  <w:t>רח</w:t>
                </w:r>
                <w:proofErr w:type="spellEnd"/>
                <w:r>
                  <w:rPr>
                    <w:rFonts w:cs="David" w:hint="cs"/>
                    <w:b/>
                    <w:bCs/>
                    <w:sz w:val="24"/>
                    <w:szCs w:val="26"/>
                    <w:u w:val="single"/>
                    <w:rtl/>
                  </w:rPr>
                  <w:t>' התקווה 4</w:t>
                </w:r>
                <w:r>
                  <w:rPr>
                    <w:rFonts w:cs="David"/>
                    <w:b/>
                    <w:bCs/>
                    <w:sz w:val="24"/>
                    <w:szCs w:val="26"/>
                    <w:u w:val="single"/>
                    <w:rtl/>
                  </w:rPr>
                  <w:t>, באר שבע ת.ד. 10050</w:t>
                </w:r>
                <w:r>
                  <w:rPr>
                    <w:rFonts w:cs="David"/>
                    <w:b/>
                    <w:bCs/>
                    <w:sz w:val="24"/>
                    <w:szCs w:val="26"/>
                    <w:u w:val="single"/>
                    <w:rtl/>
                  </w:rPr>
                  <w:tab/>
                  <w:t xml:space="preserve">  </w:t>
                </w:r>
                <w:r>
                  <w:rPr>
                    <w:rFonts w:cs="David"/>
                    <w:b/>
                    <w:bCs/>
                    <w:sz w:val="24"/>
                    <w:szCs w:val="26"/>
                    <w:u w:val="single"/>
                  </w:rPr>
                  <w:sym w:font="Symbol" w:char="F0B7"/>
                </w:r>
                <w:r>
                  <w:rPr>
                    <w:rFonts w:cs="David"/>
                    <w:b/>
                    <w:bCs/>
                    <w:sz w:val="24"/>
                    <w:szCs w:val="26"/>
                    <w:u w:val="single"/>
                    <w:rtl/>
                  </w:rPr>
                  <w:t xml:space="preserve"> טל. </w:t>
                </w:r>
                <w:r>
                  <w:rPr>
                    <w:rFonts w:cs="David" w:hint="cs"/>
                    <w:b/>
                    <w:bCs/>
                    <w:sz w:val="24"/>
                    <w:szCs w:val="26"/>
                    <w:u w:val="single"/>
                    <w:rtl/>
                  </w:rPr>
                  <w:t>6263508</w:t>
                </w:r>
                <w:r>
                  <w:rPr>
                    <w:rFonts w:cs="David"/>
                    <w:b/>
                    <w:bCs/>
                    <w:sz w:val="24"/>
                    <w:szCs w:val="26"/>
                    <w:u w:val="single"/>
                    <w:rtl/>
                  </w:rPr>
                  <w:t>-</w:t>
                </w:r>
                <w:r>
                  <w:rPr>
                    <w:rFonts w:cs="David" w:hint="cs"/>
                    <w:b/>
                    <w:bCs/>
                    <w:sz w:val="24"/>
                    <w:szCs w:val="26"/>
                    <w:u w:val="single"/>
                    <w:rtl/>
                  </w:rPr>
                  <w:t>08</w:t>
                </w:r>
                <w:r>
                  <w:rPr>
                    <w:rFonts w:cs="David"/>
                    <w:b/>
                    <w:bCs/>
                    <w:sz w:val="24"/>
                    <w:szCs w:val="26"/>
                    <w:u w:val="single"/>
                    <w:rtl/>
                  </w:rPr>
                  <w:t xml:space="preserve"> </w:t>
                </w:r>
                <w:r>
                  <w:rPr>
                    <w:rFonts w:cs="David"/>
                    <w:b/>
                    <w:bCs/>
                    <w:sz w:val="24"/>
                    <w:szCs w:val="26"/>
                    <w:u w:val="single"/>
                  </w:rPr>
                  <w:sym w:font="Symbol" w:char="F0B7"/>
                </w:r>
                <w:r>
                  <w:rPr>
                    <w:rFonts w:cs="David"/>
                    <w:b/>
                    <w:bCs/>
                    <w:sz w:val="24"/>
                    <w:szCs w:val="26"/>
                    <w:u w:val="single"/>
                    <w:rtl/>
                  </w:rPr>
                  <w:t xml:space="preserve"> פקס: </w:t>
                </w:r>
                <w:r>
                  <w:rPr>
                    <w:rFonts w:cs="David" w:hint="cs"/>
                    <w:b/>
                    <w:bCs/>
                    <w:sz w:val="24"/>
                    <w:szCs w:val="26"/>
                    <w:u w:val="single"/>
                    <w:rtl/>
                  </w:rPr>
                  <w:t>6282438</w:t>
                </w:r>
                <w:r>
                  <w:rPr>
                    <w:rFonts w:cs="David"/>
                    <w:b/>
                    <w:bCs/>
                    <w:sz w:val="24"/>
                    <w:szCs w:val="26"/>
                    <w:u w:val="single"/>
                    <w:rtl/>
                  </w:rPr>
                  <w:t>-</w:t>
                </w:r>
                <w:r>
                  <w:rPr>
                    <w:rFonts w:cs="David" w:hint="cs"/>
                    <w:b/>
                    <w:bCs/>
                    <w:sz w:val="24"/>
                    <w:szCs w:val="26"/>
                    <w:u w:val="single"/>
                    <w:rtl/>
                  </w:rPr>
                  <w:t>08</w:t>
                </w:r>
              </w:p>
              <w:p w:rsidR="003D220C" w:rsidRDefault="003D220C">
                <w:pPr>
                  <w:pStyle w:val="a4"/>
                  <w:pBdr>
                    <w:top w:val="single" w:sz="6" w:space="7" w:color="auto"/>
                  </w:pBdr>
                  <w:bidi w:val="0"/>
                  <w:jc w:val="center"/>
                  <w:rPr>
                    <w:rFonts w:cs="David" w:hint="cs"/>
                    <w:b/>
                    <w:bCs/>
                    <w:sz w:val="22"/>
                  </w:rPr>
                </w:pPr>
                <w:r>
                  <w:rPr>
                    <w:rFonts w:hint="cs"/>
                    <w:b/>
                    <w:bCs/>
                    <w:sz w:val="22"/>
                    <w:rtl/>
                  </w:rPr>
                  <w:t>4</w:t>
                </w:r>
                <w:r>
                  <w:rPr>
                    <w:b/>
                    <w:bCs/>
                    <w:sz w:val="22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sz w:val="22"/>
                  </w:rPr>
                  <w:t>Hatikva</w:t>
                </w:r>
                <w:proofErr w:type="spellEnd"/>
                <w:r>
                  <w:rPr>
                    <w:b/>
                    <w:bCs/>
                    <w:sz w:val="22"/>
                  </w:rPr>
                  <w:t xml:space="preserve"> St., P.O.B. 10050 Beer-</w:t>
                </w:r>
                <w:proofErr w:type="spellStart"/>
                <w:r>
                  <w:rPr>
                    <w:b/>
                    <w:bCs/>
                    <w:sz w:val="22"/>
                  </w:rPr>
                  <w:t>Sheeva</w:t>
                </w:r>
                <w:proofErr w:type="spellEnd"/>
                <w:r>
                  <w:rPr>
                    <w:b/>
                    <w:bCs/>
                    <w:sz w:val="22"/>
                  </w:rPr>
                  <w:t xml:space="preserve"> </w:t>
                </w:r>
                <w:r>
                  <w:rPr>
                    <w:b/>
                    <w:bCs/>
                    <w:sz w:val="22"/>
                  </w:rPr>
                  <w:sym w:font="Symbol" w:char="F0B7"/>
                </w:r>
                <w:r>
                  <w:rPr>
                    <w:b/>
                    <w:bCs/>
                    <w:sz w:val="22"/>
                  </w:rPr>
                  <w:t xml:space="preserve"> Tel. 972-8-</w:t>
                </w:r>
                <w:r>
                  <w:rPr>
                    <w:rFonts w:cs="Times New Roman" w:hint="cs"/>
                    <w:b/>
                    <w:bCs/>
                    <w:sz w:val="22"/>
                    <w:szCs w:val="22"/>
                    <w:rtl/>
                  </w:rPr>
                  <w:t>6263508</w:t>
                </w:r>
                <w:r>
                  <w:rPr>
                    <w:b/>
                    <w:bCs/>
                    <w:sz w:val="22"/>
                  </w:rPr>
                  <w:sym w:font="Symbol" w:char="F0B7"/>
                </w:r>
                <w:r>
                  <w:rPr>
                    <w:b/>
                    <w:bCs/>
                    <w:sz w:val="22"/>
                  </w:rPr>
                  <w:t xml:space="preserve"> Fax. 972-8-</w:t>
                </w:r>
                <w:r>
                  <w:rPr>
                    <w:rFonts w:cs="David" w:hint="cs"/>
                    <w:b/>
                    <w:bCs/>
                    <w:sz w:val="22"/>
                    <w:rtl/>
                  </w:rPr>
                  <w:t>6282438</w:t>
                </w:r>
              </w:p>
              <w:p w:rsidR="003D220C" w:rsidRDefault="003D220C" w:rsidP="001E403A">
                <w:pPr>
                  <w:pStyle w:val="a4"/>
                  <w:pBdr>
                    <w:top w:val="single" w:sz="6" w:space="7" w:color="auto"/>
                  </w:pBdr>
                  <w:bidi w:val="0"/>
                  <w:jc w:val="center"/>
                  <w:rPr>
                    <w:rFonts w:cs="Times New Roman"/>
                    <w:b/>
                    <w:bCs/>
                    <w:sz w:val="24"/>
                    <w:szCs w:val="16"/>
                  </w:rPr>
                </w:pPr>
                <w:r>
                  <w:rPr>
                    <w:rFonts w:cs="Times New Roman"/>
                    <w:b/>
                    <w:bCs/>
                    <w:sz w:val="24"/>
                    <w:szCs w:val="16"/>
                  </w:rPr>
                  <w:t xml:space="preserve">E-mail: </w:t>
                </w:r>
                <w:hyperlink r:id="rId1" w:history="1">
                  <w:proofErr w:type="spellStart"/>
                  <w:r w:rsidR="001E403A" w:rsidRPr="001E403A">
                    <w:rPr>
                      <w:rStyle w:val="Hyperlink"/>
                      <w:rFonts w:cs="Times New Roman"/>
                      <w:sz w:val="24"/>
                      <w:szCs w:val="16"/>
                    </w:rPr>
                    <w:t>foox.mendel</w:t>
                  </w:r>
                  <w:r>
                    <w:rPr>
                      <w:rStyle w:val="Hyperlink"/>
                      <w:rFonts w:cs="Times New Roman"/>
                      <w:sz w:val="24"/>
                      <w:szCs w:val="16"/>
                    </w:rPr>
                    <w:t>@</w:t>
                  </w:r>
                  <w:r w:rsidR="001E403A">
                    <w:rPr>
                      <w:rStyle w:val="Hyperlink"/>
                      <w:rFonts w:cs="Times New Roman"/>
                      <w:sz w:val="24"/>
                      <w:szCs w:val="16"/>
                    </w:rPr>
                    <w:t>bsh</w:t>
                  </w:r>
                  <w:r>
                    <w:rPr>
                      <w:rStyle w:val="Hyperlink"/>
                      <w:rFonts w:cs="Times New Roman"/>
                      <w:sz w:val="24"/>
                      <w:szCs w:val="16"/>
                    </w:rPr>
                    <w:t>.health.gov.il</w:t>
                  </w:r>
                  <w:proofErr w:type="spellEnd"/>
                </w:hyperlink>
                <w:r>
                  <w:rPr>
                    <w:rFonts w:cs="Times New Roman"/>
                    <w:b/>
                    <w:bCs/>
                    <w:sz w:val="24"/>
                    <w:szCs w:val="16"/>
                  </w:rPr>
                  <w:t xml:space="preserve"> </w:t>
                </w:r>
              </w:p>
              <w:p w:rsidR="003D220C" w:rsidRDefault="003D220C">
                <w:pPr>
                  <w:pStyle w:val="a4"/>
                  <w:pBdr>
                    <w:top w:val="single" w:sz="6" w:space="7" w:color="auto"/>
                  </w:pBdr>
                  <w:bidi w:val="0"/>
                  <w:jc w:val="center"/>
                  <w:rPr>
                    <w:b/>
                    <w:bCs/>
                    <w:sz w:val="24"/>
                    <w:rtl/>
                  </w:rPr>
                </w:pPr>
              </w:p>
              <w:p w:rsidR="003D220C" w:rsidRDefault="003D220C">
                <w:pPr>
                  <w:jc w:val="center"/>
                  <w:rPr>
                    <w:rtl/>
                  </w:rPr>
                </w:pPr>
              </w:p>
              <w:p w:rsidR="003D220C" w:rsidRDefault="003D220C">
                <w:pPr>
                  <w:rPr>
                    <w:rtl/>
                  </w:rPr>
                </w:pPr>
              </w:p>
            </w:txbxContent>
          </v:textbox>
          <w10:wrap type="topAndBottom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846" w:rsidRDefault="00627846">
      <w:r>
        <w:separator/>
      </w:r>
    </w:p>
  </w:footnote>
  <w:footnote w:type="continuationSeparator" w:id="1">
    <w:p w:rsidR="00627846" w:rsidRDefault="00627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0C" w:rsidRDefault="003D220C">
    <w:pPr>
      <w:pStyle w:val="a3"/>
      <w:rPr>
        <w:rtl/>
      </w:rPr>
    </w:pPr>
    <w:r>
      <w:rPr>
        <w:rtl/>
      </w:rPr>
      <w:pict>
        <v:roundrect id="_x0000_s2051" style="position:absolute;left:0;text-align:left;margin-left:22.15pt;margin-top:29pt;width:129.6pt;height:64.8pt;z-index:251658240" arcsize="10923f" o:allowincell="f">
          <v:shadow on="t"/>
          <v:textbox style="mso-next-textbox:#_x0000_s2051">
            <w:txbxContent>
              <w:p w:rsidR="003D220C" w:rsidRDefault="003D220C">
                <w:pPr>
                  <w:jc w:val="center"/>
                  <w:rPr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b/>
                    <w:bCs/>
                    <w:sz w:val="22"/>
                    <w:szCs w:val="22"/>
                    <w:lang w:eastAsia="en-US"/>
                  </w:rPr>
                  <w:t>State of Israel</w:t>
                </w:r>
              </w:p>
              <w:p w:rsidR="003D220C" w:rsidRDefault="003D220C">
                <w:pPr>
                  <w:jc w:val="center"/>
                  <w:rPr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b/>
                    <w:bCs/>
                    <w:sz w:val="22"/>
                    <w:szCs w:val="22"/>
                    <w:lang w:eastAsia="en-US"/>
                  </w:rPr>
                  <w:t>Ministry of Health</w:t>
                </w:r>
              </w:p>
              <w:p w:rsidR="003D220C" w:rsidRDefault="003D220C">
                <w:pPr>
                  <w:pStyle w:val="1"/>
                </w:pPr>
                <w:r>
                  <w:t>Regional Health Office</w:t>
                </w:r>
              </w:p>
              <w:p w:rsidR="003D220C" w:rsidRDefault="003D220C">
                <w:pPr>
                  <w:jc w:val="center"/>
                  <w:rPr>
                    <w:rtl/>
                  </w:rPr>
                </w:pPr>
                <w:r>
                  <w:rPr>
                    <w:b/>
                    <w:bCs/>
                    <w:sz w:val="22"/>
                    <w:szCs w:val="22"/>
                    <w:lang w:eastAsia="en-US"/>
                  </w:rPr>
                  <w:t>Southern Region</w:t>
                </w:r>
              </w:p>
              <w:p w:rsidR="003D220C" w:rsidRDefault="003D220C">
                <w:pPr>
                  <w:rPr>
                    <w:rtl/>
                  </w:rPr>
                </w:pPr>
              </w:p>
            </w:txbxContent>
          </v:textbox>
          <w10:wrap type="topAndBottom"/>
        </v:roundrect>
      </w:pict>
    </w:r>
    <w:r>
      <w:rPr>
        <w:rtl/>
      </w:rPr>
      <w:pict>
        <v:roundrect id="_x0000_s2052" style="position:absolute;left:0;text-align:left;margin-left:382.15pt;margin-top:29pt;width:129.55pt;height:64.9pt;z-index:251659264" arcsize="10923f" o:allowincell="f">
          <v:shadow on="t"/>
          <v:textbox style="mso-next-textbox:#_x0000_s2052">
            <w:txbxContent>
              <w:p w:rsidR="003D220C" w:rsidRDefault="003D220C">
                <w:pPr>
                  <w:rPr>
                    <w:rtl/>
                  </w:rPr>
                </w:pPr>
                <w:r>
                  <w:object w:dxaOrig="2131" w:dyaOrig="115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9.75pt;height:54pt" o:ole="" fillcolor="window">
                      <v:imagedata r:id="rId1" o:title=""/>
                    </v:shape>
                    <o:OLEObject Type="Embed" ProgID="Word.Picture.8" ShapeID="_x0000_i1025" DrawAspect="Content" ObjectID="_1414224581" r:id="rId2"/>
                  </w:object>
                </w:r>
              </w:p>
            </w:txbxContent>
          </v:textbox>
          <w10:wrap type="topAndBottom"/>
        </v:roundrect>
      </w:pict>
    </w:r>
    <w:r>
      <w:rPr>
        <w:rtl/>
      </w:rPr>
      <w:pict>
        <v:roundrect id="_x0000_s2049" style="position:absolute;left:0;text-align:left;margin-left:7.75pt;margin-top:7.4pt;width:528.45pt;height:1in;z-index:251656192" arcsize="10923f" o:allowincell="f">
          <v:imagedata embosscolor="shadow add(51)"/>
          <v:shadow on="t"/>
          <o:extrusion v:ext="view" render="wireFrame"/>
          <v:textbox style="mso-next-textbox:#_x0000_s2049">
            <w:txbxContent>
              <w:p w:rsidR="003D220C" w:rsidRDefault="003D220C">
                <w:pPr>
                  <w:pStyle w:val="a3"/>
                  <w:jc w:val="center"/>
                  <w:rPr>
                    <w:rFonts w:cs="David"/>
                    <w:b/>
                    <w:bCs/>
                    <w:szCs w:val="32"/>
                    <w:rtl/>
                  </w:rPr>
                </w:pPr>
                <w:r>
                  <w:rPr>
                    <w:rFonts w:cs="David"/>
                    <w:b/>
                    <w:bCs/>
                    <w:szCs w:val="32"/>
                    <w:rtl/>
                  </w:rPr>
                  <w:t>מדינת ישראל</w:t>
                </w:r>
              </w:p>
              <w:p w:rsidR="003D220C" w:rsidRDefault="003D220C">
                <w:pPr>
                  <w:pStyle w:val="a3"/>
                  <w:jc w:val="center"/>
                  <w:rPr>
                    <w:rFonts w:cs="David"/>
                    <w:b/>
                    <w:bCs/>
                    <w:szCs w:val="28"/>
                    <w:rtl/>
                  </w:rPr>
                </w:pPr>
                <w:r>
                  <w:rPr>
                    <w:rFonts w:cs="David"/>
                    <w:b/>
                    <w:bCs/>
                    <w:szCs w:val="28"/>
                    <w:rtl/>
                  </w:rPr>
                  <w:t>משרד הבריאות</w:t>
                </w:r>
              </w:p>
              <w:p w:rsidR="003D220C" w:rsidRDefault="003D220C">
                <w:pPr>
                  <w:pStyle w:val="a3"/>
                  <w:jc w:val="center"/>
                  <w:rPr>
                    <w:b/>
                    <w:bCs/>
                    <w:szCs w:val="28"/>
                    <w:rtl/>
                  </w:rPr>
                </w:pPr>
                <w:r>
                  <w:rPr>
                    <w:rFonts w:cs="David"/>
                    <w:b/>
                    <w:bCs/>
                    <w:szCs w:val="28"/>
                    <w:rtl/>
                  </w:rPr>
                  <w:t>לשכת הבריאות - מחוז הדרום</w:t>
                </w:r>
              </w:p>
              <w:p w:rsidR="003D220C" w:rsidRDefault="003D220C">
                <w:pPr>
                  <w:pStyle w:val="2"/>
                  <w:rPr>
                    <w:b/>
                    <w:bCs/>
                    <w:rtl/>
                  </w:rPr>
                </w:pPr>
                <w:r>
                  <w:rPr>
                    <w:b/>
                    <w:bCs/>
                    <w:rtl/>
                  </w:rPr>
                  <w:t>לשכת פסיכיאטר מחוזי/אזורי</w:t>
                </w:r>
              </w:p>
              <w:p w:rsidR="003D220C" w:rsidRDefault="003D220C">
                <w:pPr>
                  <w:pStyle w:val="2"/>
                </w:pPr>
              </w:p>
            </w:txbxContent>
          </v:textbox>
          <w10:wrap type="square"/>
        </v:round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numFmt w:val="lowerLetter"/>
    <w:endnote w:id="0"/>
    <w:endnote w:id="1"/>
  </w:endnotePr>
  <w:compat>
    <w:applyBreakingRules/>
  </w:compat>
  <w:rsids>
    <w:rsidRoot w:val="003D220C"/>
    <w:rsid w:val="00144504"/>
    <w:rsid w:val="001E403A"/>
    <w:rsid w:val="003D220C"/>
    <w:rsid w:val="00412CA5"/>
    <w:rsid w:val="00627846"/>
    <w:rsid w:val="0063704C"/>
    <w:rsid w:val="006666B3"/>
    <w:rsid w:val="0086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Narkisim"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David"/>
      <w:b/>
      <w:bCs/>
      <w:sz w:val="22"/>
      <w:szCs w:val="22"/>
      <w:lang w:eastAsia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David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Pr>
      <w:color w:val="0000FF"/>
      <w:u w:val="single"/>
    </w:rPr>
  </w:style>
  <w:style w:type="character" w:styleId="FollowedHyperlink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bsilna@matat.health.gov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Lbs</Company>
  <LinksUpToDate>false</LinksUpToDate>
  <CharactersWithSpaces>776</CharactersWithSpaces>
  <SharedDoc>false</SharedDoc>
  <HLinks>
    <vt:vector size="6" baseType="variant">
      <vt:variant>
        <vt:i4>6488152</vt:i4>
      </vt:variant>
      <vt:variant>
        <vt:i4>3</vt:i4>
      </vt:variant>
      <vt:variant>
        <vt:i4>0</vt:i4>
      </vt:variant>
      <vt:variant>
        <vt:i4>5</vt:i4>
      </vt:variant>
      <vt:variant>
        <vt:lpwstr>mailto:lbsilna@matat.health.gov.il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tami.konin</dc:creator>
  <cp:lastModifiedBy>tami.konin</cp:lastModifiedBy>
  <cp:revision>1</cp:revision>
  <cp:lastPrinted>2001-04-01T07:23:00Z</cp:lastPrinted>
  <dcterms:created xsi:type="dcterms:W3CDTF">2012-11-12T09:14:00Z</dcterms:created>
  <dcterms:modified xsi:type="dcterms:W3CDTF">2012-11-12T09:23:00Z</dcterms:modified>
</cp:coreProperties>
</file>