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7F502" w14:textId="77777777" w:rsidR="007007A1" w:rsidRPr="007007A1" w:rsidRDefault="007007A1" w:rsidP="007007A1">
      <w:pPr>
        <w:bidi/>
        <w:spacing w:before="100" w:beforeAutospacing="1" w:after="200" w:line="276" w:lineRule="auto"/>
        <w:jc w:val="both"/>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שלום,</w:t>
      </w:r>
    </w:p>
    <w:p w14:paraId="200F4A2F" w14:textId="77777777" w:rsidR="007007A1" w:rsidRPr="007007A1" w:rsidRDefault="007007A1" w:rsidP="007007A1">
      <w:pPr>
        <w:bidi/>
        <w:spacing w:before="100" w:beforeAutospacing="1" w:after="200" w:line="276"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פרקליטות המדינה רואה חשיבות רבה בקידום האכיפה בתחום תאונות העבודה הקטלניות ופועלת נמרצות לצמצום תופעת זו. נוכח החשיבות שהיא מעניקה לנושא זה, עבודת המטה מרוכזת על ידי גורמים רמי דרג, לרבות פרקליט המדינה עצמו ומשנהו לעניינים פליליים.</w:t>
      </w:r>
    </w:p>
    <w:p w14:paraId="059DBB9A" w14:textId="77777777" w:rsidR="007007A1" w:rsidRPr="007007A1" w:rsidRDefault="007007A1" w:rsidP="007007A1">
      <w:pPr>
        <w:bidi/>
        <w:spacing w:before="100" w:beforeAutospacing="1" w:after="200" w:line="276"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לאחר עבודת מטה רחבת היקף, שכללה, בין היתר, סקירה של עשרות תיקי חקירה ומיפוי הכשלים המאפיינים תיקים אלה</w:t>
      </w:r>
      <w:bookmarkStart w:id="0" w:name="m_-3347557776030055918__ftnref1"/>
      <w:bookmarkEnd w:id="0"/>
      <w:r w:rsidRPr="007007A1">
        <w:rPr>
          <w:rFonts w:ascii="Times New Roman" w:eastAsia="Times New Roman" w:hAnsi="Times New Roman" w:cs="Times New Roman"/>
          <w:sz w:val="24"/>
          <w:szCs w:val="24"/>
          <w:rtl/>
          <w:lang w:eastAsia="en-IL"/>
        </w:rPr>
        <w:fldChar w:fldCharType="begin"/>
      </w:r>
      <w:r w:rsidRPr="007007A1">
        <w:rPr>
          <w:rFonts w:ascii="Times New Roman" w:eastAsia="Times New Roman" w:hAnsi="Times New Roman" w:cs="Times New Roman"/>
          <w:sz w:val="24"/>
          <w:szCs w:val="24"/>
          <w:rtl/>
          <w:lang w:eastAsia="en-IL"/>
        </w:rPr>
        <w:instrText xml:space="preserve"> </w:instrText>
      </w:r>
      <w:r w:rsidRPr="007007A1">
        <w:rPr>
          <w:rFonts w:ascii="Times New Roman" w:eastAsia="Times New Roman" w:hAnsi="Times New Roman" w:cs="Times New Roman"/>
          <w:sz w:val="24"/>
          <w:szCs w:val="24"/>
          <w:lang w:eastAsia="en-IL"/>
        </w:rPr>
        <w:instrText>HYPERLINK "https://mail.google.com/mail/u/0/?ui=2&amp;view=btop&amp;ver=16z5lknbah3av&amp;msg=%23msg-f%3A1634215913736962455&amp;attid=0.1" \l "m_-3347557776030055918__ftn1</w:instrText>
      </w:r>
      <w:r w:rsidRPr="007007A1">
        <w:rPr>
          <w:rFonts w:ascii="Times New Roman" w:eastAsia="Times New Roman" w:hAnsi="Times New Roman" w:cs="Times New Roman"/>
          <w:sz w:val="24"/>
          <w:szCs w:val="24"/>
          <w:rtl/>
          <w:lang w:eastAsia="en-IL"/>
        </w:rPr>
        <w:instrText xml:space="preserve">" </w:instrText>
      </w:r>
      <w:r w:rsidRPr="007007A1">
        <w:rPr>
          <w:rFonts w:ascii="Times New Roman" w:eastAsia="Times New Roman" w:hAnsi="Times New Roman" w:cs="Times New Roman"/>
          <w:sz w:val="24"/>
          <w:szCs w:val="24"/>
          <w:rtl/>
          <w:lang w:eastAsia="en-IL"/>
        </w:rPr>
        <w:fldChar w:fldCharType="separate"/>
      </w:r>
      <w:r w:rsidRPr="007007A1">
        <w:rPr>
          <w:rFonts w:ascii="Arial" w:eastAsia="Times New Roman" w:hAnsi="Arial" w:cs="Arial"/>
          <w:color w:val="0000FF"/>
          <w:sz w:val="24"/>
          <w:szCs w:val="24"/>
          <w:u w:val="single"/>
          <w:lang w:val="en-US" w:eastAsia="en-IL"/>
        </w:rPr>
        <w:t>[1]</w:t>
      </w:r>
      <w:r w:rsidRPr="007007A1">
        <w:rPr>
          <w:rFonts w:ascii="Times New Roman" w:eastAsia="Times New Roman" w:hAnsi="Times New Roman" w:cs="Times New Roman"/>
          <w:sz w:val="24"/>
          <w:szCs w:val="24"/>
          <w:rtl/>
          <w:lang w:eastAsia="en-IL"/>
        </w:rPr>
        <w:fldChar w:fldCharType="end"/>
      </w:r>
      <w:r w:rsidRPr="007007A1">
        <w:rPr>
          <w:rFonts w:ascii="Arial" w:eastAsia="Times New Roman" w:hAnsi="Arial" w:cs="Arial"/>
          <w:sz w:val="24"/>
          <w:szCs w:val="24"/>
          <w:rtl/>
          <w:lang w:eastAsia="en-IL"/>
        </w:rPr>
        <w:t xml:space="preserve">, הופץ בדצמבר 2015 נוהל עבודה </w:t>
      </w:r>
      <w:proofErr w:type="spellStart"/>
      <w:r w:rsidRPr="007007A1">
        <w:rPr>
          <w:rFonts w:ascii="Arial" w:eastAsia="Times New Roman" w:hAnsi="Arial" w:cs="Arial"/>
          <w:sz w:val="24"/>
          <w:szCs w:val="24"/>
          <w:rtl/>
          <w:lang w:eastAsia="en-IL"/>
        </w:rPr>
        <w:t>פרקליטותי</w:t>
      </w:r>
      <w:proofErr w:type="spellEnd"/>
      <w:r w:rsidRPr="007007A1">
        <w:rPr>
          <w:rFonts w:ascii="Arial" w:eastAsia="Times New Roman" w:hAnsi="Arial" w:cs="Arial"/>
          <w:sz w:val="24"/>
          <w:szCs w:val="24"/>
          <w:rtl/>
          <w:lang w:eastAsia="en-IL"/>
        </w:rPr>
        <w:t xml:space="preserve"> המשותף לפרקליטות, למשטרת ישראל ולמנהל הבטיחות שתכליתו להדק את ממשקי העבודה בין הגופים, ולטייב את גיבוש התשתית הראייתית בתיקים הללו. נוהל זה הוטמע אף בנוהל משטרת ישראל. </w:t>
      </w:r>
    </w:p>
    <w:p w14:paraId="0F32C436"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לעניין בקשתך, המערכת הממוחשבת של הפרקליטות אינה יכולה לפלח נסיבות ביצוע עבירה, או תפקידם של נאשמים כאלה או אחרים, אלא רק לפי סעיף עבירה, ולפיכך אין באפשרותנו לספק נתונים הנוגעים לתיקי תאונות עבודה שנפתחו מאז מרץ 2016.</w:t>
      </w:r>
    </w:p>
    <w:p w14:paraId="299E071D"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 xml:space="preserve">עם זאת, באוגוסט 2017 בוצע עדכון של סטטוס התיקים שהועברו בדיווח שנמסר לכנסת (ואשר נמסרו לך בפנייתך הקודמת). העדכון נוגע לסטטוס העדכני של תיקי החקירה שהועברו לפרקליטות מתחילת שנת 2010 ועד סוף חודש פברואר 2016, לעומת הסטטוס שלהם ביוני 2016 (אז בוצעה הבדיקה הקודמת), </w:t>
      </w:r>
      <w:r w:rsidRPr="007007A1">
        <w:rPr>
          <w:rFonts w:ascii="Arial" w:eastAsia="Times New Roman" w:hAnsi="Arial" w:cs="Arial"/>
          <w:b/>
          <w:bCs/>
          <w:sz w:val="24"/>
          <w:szCs w:val="24"/>
          <w:rtl/>
          <w:lang w:eastAsia="en-IL"/>
        </w:rPr>
        <w:t xml:space="preserve">וכאמור הם </w:t>
      </w:r>
      <w:r w:rsidRPr="007007A1">
        <w:rPr>
          <w:rFonts w:ascii="Arial" w:eastAsia="Times New Roman" w:hAnsi="Arial" w:cs="Arial"/>
          <w:b/>
          <w:bCs/>
          <w:sz w:val="24"/>
          <w:szCs w:val="24"/>
          <w:u w:val="single"/>
          <w:rtl/>
          <w:lang w:eastAsia="en-IL"/>
        </w:rPr>
        <w:t>אינם</w:t>
      </w:r>
      <w:r w:rsidRPr="007007A1">
        <w:rPr>
          <w:rFonts w:ascii="Arial" w:eastAsia="Times New Roman" w:hAnsi="Arial" w:cs="Arial"/>
          <w:b/>
          <w:bCs/>
          <w:sz w:val="24"/>
          <w:szCs w:val="24"/>
          <w:rtl/>
          <w:lang w:eastAsia="en-IL"/>
        </w:rPr>
        <w:t xml:space="preserve"> כוללים את התיקים שהועברו לפרקליטות מאז מרץ 2016</w:t>
      </w:r>
      <w:r w:rsidRPr="007007A1">
        <w:rPr>
          <w:rFonts w:ascii="Arial" w:eastAsia="Times New Roman" w:hAnsi="Arial" w:cs="Arial"/>
          <w:sz w:val="24"/>
          <w:szCs w:val="24"/>
          <w:rtl/>
          <w:lang w:eastAsia="en-IL"/>
        </w:rPr>
        <w:t>.</w:t>
      </w:r>
    </w:p>
    <w:p w14:paraId="2E839F8E"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ביחס למסד הנתונים</w:t>
      </w:r>
      <w:r w:rsidRPr="007007A1">
        <w:rPr>
          <w:rFonts w:ascii="Arial" w:eastAsia="Times New Roman" w:hAnsi="Arial" w:cs="Arial"/>
          <w:sz w:val="24"/>
          <w:szCs w:val="24"/>
          <w:rtl/>
          <w:lang w:eastAsia="en-IL"/>
        </w:rPr>
        <w:t xml:space="preserve">: </w:t>
      </w:r>
    </w:p>
    <w:p w14:paraId="0A8CD106"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בתקופה שבין יוני 2016 ואוגוסט 2017 התקבלה החלטה ב-26 תיקים אשר במועד ביצוע הבדיקה הקודמת המתינו לקבלת החלטה האם דינם להיגנז או להגיש כתב אישום.</w:t>
      </w:r>
    </w:p>
    <w:p w14:paraId="573B7CC4"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מתוכם: 18 תיקים (שכללו חשדות ביחס ל-60 חשודים) נגנזו, תיק אחד נסגר במסגרת "הסדר מותנה", וב-7 תיקי פרקליטות הוגשו כתבי אישום נגד 15 נאשמים.</w:t>
      </w:r>
    </w:p>
    <w:p w14:paraId="202E3DC7"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u w:val="single"/>
          <w:rtl/>
          <w:lang w:eastAsia="en-IL"/>
        </w:rPr>
        <w:t xml:space="preserve">מבין שבעת כתבי האישום שהוגשו: </w:t>
      </w:r>
    </w:p>
    <w:p w14:paraId="2904B537"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 כתבי אישום הוגשו בעבירה של גרם מוות ברשלנות ו-3 כתבי אישום הוגשו בעבירה של חבלה ברשלנות.</w:t>
      </w:r>
    </w:p>
    <w:p w14:paraId="34A8C21E"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 xml:space="preserve">6 מכתבי האישום הוגשו בשנת 2016 וכתב אישום אחד הוגש בשנת 2017. </w:t>
      </w:r>
    </w:p>
    <w:p w14:paraId="492BC925"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u w:val="single"/>
          <w:rtl/>
          <w:lang w:eastAsia="en-IL"/>
        </w:rPr>
        <w:t>מבין התיקים שנגנזו:</w:t>
      </w:r>
    </w:p>
    <w:p w14:paraId="2FD07EE3"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ביחס ל-40 חשודים התיק נגנז מחוסר ראיות;</w:t>
      </w:r>
    </w:p>
    <w:p w14:paraId="6CA09A43"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ביחס ל-12 חשודים התיק נגנז מחוסר אשמה;</w:t>
      </w:r>
    </w:p>
    <w:p w14:paraId="684AE756"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ביחס ל-2 חשודים התיק נגנז בעילה שנסיבות העניין אינן מצדיקות העמדה לדין ("היעדר עניין לציבור").</w:t>
      </w:r>
    </w:p>
    <w:p w14:paraId="1C99B6C5"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ביחס ל-6 חשודים נוספים ההחלטה אינה ידועה או שטרם התקבלה (כלומר שטרם הוחלט מה עילת הגניזה).</w:t>
      </w:r>
    </w:p>
    <w:p w14:paraId="500565F4" w14:textId="77777777" w:rsidR="007007A1" w:rsidRPr="007007A1" w:rsidRDefault="007007A1" w:rsidP="007007A1">
      <w:pPr>
        <w:bidi/>
        <w:spacing w:before="100" w:beforeAutospacing="1" w:after="100" w:afterAutospacing="1" w:line="240" w:lineRule="auto"/>
        <w:jc w:val="both"/>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lastRenderedPageBreak/>
        <w:t xml:space="preserve">כמו כן, בתקופה האמורה </w:t>
      </w:r>
      <w:r w:rsidRPr="007007A1">
        <w:rPr>
          <w:rFonts w:ascii="Arial" w:eastAsia="Times New Roman" w:hAnsi="Arial" w:cs="Arial"/>
          <w:b/>
          <w:bCs/>
          <w:sz w:val="24"/>
          <w:szCs w:val="24"/>
          <w:u w:val="single"/>
          <w:rtl/>
          <w:lang w:eastAsia="en-IL"/>
        </w:rPr>
        <w:t>הסתיים ההליך השיפוטי</w:t>
      </w:r>
      <w:r w:rsidRPr="007007A1">
        <w:rPr>
          <w:rFonts w:ascii="Arial" w:eastAsia="Times New Roman" w:hAnsi="Arial" w:cs="Arial"/>
          <w:sz w:val="24"/>
          <w:szCs w:val="24"/>
          <w:rtl/>
          <w:lang w:eastAsia="en-IL"/>
        </w:rPr>
        <w:t xml:space="preserve"> בחמישה תיקים שהוגשו בשנים 2014 – 2015 ואשר התנהלו נגד 8 נאשמים. 6 מהנאשמים הורשעו וביחס לשניים נוספים ההליך הסתיים במחיקת כתב האישום או בזיכוי.</w:t>
      </w:r>
    </w:p>
    <w:p w14:paraId="7A2518EE"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על הנאשמים שהורשעו הוטלו העונשים הבאים:</w:t>
      </w:r>
    </w:p>
    <w:tbl>
      <w:tblPr>
        <w:bidiVisual/>
        <w:tblW w:w="0" w:type="auto"/>
        <w:tblCellMar>
          <w:left w:w="0" w:type="dxa"/>
          <w:right w:w="0" w:type="dxa"/>
        </w:tblCellMar>
        <w:tblLook w:val="04A0" w:firstRow="1" w:lastRow="0" w:firstColumn="1" w:lastColumn="0" w:noHBand="0" w:noVBand="1"/>
      </w:tblPr>
      <w:tblGrid>
        <w:gridCol w:w="1771"/>
        <w:gridCol w:w="1771"/>
        <w:gridCol w:w="1771"/>
        <w:gridCol w:w="1771"/>
        <w:gridCol w:w="1772"/>
      </w:tblGrid>
      <w:tr w:rsidR="007007A1" w:rsidRPr="007007A1" w14:paraId="35387236" w14:textId="77777777" w:rsidTr="007007A1">
        <w:tc>
          <w:tcPr>
            <w:tcW w:w="1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3A53C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עבודות שירות</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BDF2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מאסר על תנאי</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D362F"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proofErr w:type="spellStart"/>
            <w:r w:rsidRPr="007007A1">
              <w:rPr>
                <w:rFonts w:ascii="Arial" w:eastAsia="Times New Roman" w:hAnsi="Arial" w:cs="Arial"/>
                <w:sz w:val="24"/>
                <w:szCs w:val="24"/>
                <w:rtl/>
                <w:lang w:eastAsia="en-IL"/>
              </w:rPr>
              <w:t>של"צ</w:t>
            </w:r>
            <w:proofErr w:type="spellEnd"/>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34807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פיצוי</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040F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קנס</w:t>
            </w:r>
          </w:p>
        </w:tc>
      </w:tr>
      <w:tr w:rsidR="007007A1" w:rsidRPr="007007A1" w14:paraId="6CE6EA43" w14:textId="77777777" w:rsidTr="007007A1">
        <w:tc>
          <w:tcPr>
            <w:tcW w:w="1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82437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0D63929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5</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3FFA5FB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03372C0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5 עונשי פיצויים בסך מצטבר של 86,000 ש"ח</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769FD62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 בסך 8000 ש"ח</w:t>
            </w:r>
          </w:p>
        </w:tc>
      </w:tr>
    </w:tbl>
    <w:p w14:paraId="71B5EC52"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מצ"ב הטבלאות המעודכנות, הכוללות גם את הנתונים המעודכנים:</w:t>
      </w:r>
    </w:p>
    <w:p w14:paraId="6B37F9DA"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u w:val="single"/>
          <w:rtl/>
          <w:lang w:eastAsia="en-IL"/>
        </w:rPr>
        <w:t>תיקי הפרקליטות שנפתחו בחלוקה לשנים והסטטוס שלהם</w:t>
      </w:r>
    </w:p>
    <w:tbl>
      <w:tblPr>
        <w:bidiVisual/>
        <w:tblW w:w="10080" w:type="dxa"/>
        <w:tblCellMar>
          <w:left w:w="0" w:type="dxa"/>
          <w:right w:w="0" w:type="dxa"/>
        </w:tblCellMar>
        <w:tblLook w:val="04A0" w:firstRow="1" w:lastRow="0" w:firstColumn="1" w:lastColumn="0" w:noHBand="0" w:noVBand="1"/>
      </w:tblPr>
      <w:tblGrid>
        <w:gridCol w:w="4578"/>
        <w:gridCol w:w="1182"/>
        <w:gridCol w:w="1080"/>
        <w:gridCol w:w="1080"/>
        <w:gridCol w:w="1080"/>
        <w:gridCol w:w="1080"/>
      </w:tblGrid>
      <w:tr w:rsidR="007007A1" w:rsidRPr="007007A1" w14:paraId="5FF1B9C3" w14:textId="77777777" w:rsidTr="007007A1">
        <w:trPr>
          <w:trHeight w:val="1260"/>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907F8"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שנת פתיחת התיק בפרקליטות </w:t>
            </w:r>
          </w:p>
        </w:tc>
        <w:tc>
          <w:tcPr>
            <w:tcW w:w="108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0733A4F7"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מספר תיקי פרקליטות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4C5279"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מתוכם -טרם התקבלה החלטה</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04D56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מתוכם נגנזו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7AD9E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מתוכם - הוגש כתב אישום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057F4F"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מתוכם - אחר</w:t>
            </w:r>
          </w:p>
        </w:tc>
      </w:tr>
      <w:tr w:rsidR="007007A1" w:rsidRPr="007007A1" w14:paraId="5B037FEB"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0534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2010</w:t>
            </w:r>
          </w:p>
        </w:tc>
        <w:tc>
          <w:tcPr>
            <w:tcW w:w="108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0B383BD7"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C678C"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D216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BF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09BBE"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r>
      <w:tr w:rsidR="007007A1" w:rsidRPr="007007A1" w14:paraId="361665CC"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F478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2011</w:t>
            </w:r>
          </w:p>
        </w:tc>
        <w:tc>
          <w:tcPr>
            <w:tcW w:w="108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C78776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ED46"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38E3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4A50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B1877"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r>
      <w:tr w:rsidR="007007A1" w:rsidRPr="007007A1" w14:paraId="7F1A67D7"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C116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2012</w:t>
            </w:r>
          </w:p>
        </w:tc>
        <w:tc>
          <w:tcPr>
            <w:tcW w:w="108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4544BBDE"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7FB80"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8651E"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13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C2769"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0B63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r>
      <w:tr w:rsidR="007007A1" w:rsidRPr="007007A1" w14:paraId="78DF82BE"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E8E7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2013</w:t>
            </w:r>
          </w:p>
        </w:tc>
        <w:tc>
          <w:tcPr>
            <w:tcW w:w="108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07CC366"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0FB2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075A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EDAD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D58A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5</w:t>
            </w:r>
          </w:p>
        </w:tc>
      </w:tr>
      <w:tr w:rsidR="007007A1" w:rsidRPr="007007A1" w14:paraId="57F3452C"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A79F1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2014</w:t>
            </w:r>
          </w:p>
        </w:tc>
        <w:tc>
          <w:tcPr>
            <w:tcW w:w="108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068E4CAF"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0929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398F9"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0493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4DA9C"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6</w:t>
            </w:r>
          </w:p>
        </w:tc>
      </w:tr>
      <w:tr w:rsidR="007007A1" w:rsidRPr="007007A1" w14:paraId="55F9BD34"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19329"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2015</w:t>
            </w:r>
          </w:p>
        </w:tc>
        <w:tc>
          <w:tcPr>
            <w:tcW w:w="108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7967652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FB00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FEA8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4566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31A0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w:t>
            </w:r>
          </w:p>
        </w:tc>
      </w:tr>
      <w:tr w:rsidR="007007A1" w:rsidRPr="007007A1" w14:paraId="4FEFBFB2"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C651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2016</w:t>
            </w:r>
          </w:p>
        </w:tc>
        <w:tc>
          <w:tcPr>
            <w:tcW w:w="108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A1FA84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86B195"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lang w:eastAsia="en-IL"/>
              </w:rPr>
              <w:t>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79784"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5C7C7F" w14:textId="77777777" w:rsidR="007007A1" w:rsidRPr="007007A1" w:rsidRDefault="007007A1" w:rsidP="007007A1">
            <w:pPr>
              <w:spacing w:after="0" w:line="240" w:lineRule="auto"/>
              <w:rPr>
                <w:rFonts w:ascii="Times New Roman" w:eastAsia="Times New Roman" w:hAnsi="Times New Roman" w:cs="Times New Roman"/>
                <w:sz w:val="24"/>
                <w:szCs w:val="24"/>
                <w:lang w:eastAsia="en-IL"/>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0C9EF"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2DE999F9"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A02C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b/>
                <w:bCs/>
                <w:sz w:val="24"/>
                <w:szCs w:val="24"/>
                <w:rtl/>
                <w:lang w:eastAsia="en-IL"/>
              </w:rPr>
              <w:t>סה"כ</w:t>
            </w:r>
          </w:p>
        </w:tc>
        <w:tc>
          <w:tcPr>
            <w:tcW w:w="108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E687FF4"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148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1855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42774"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96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A5B5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27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FF0E6"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17</w:t>
            </w:r>
          </w:p>
        </w:tc>
      </w:tr>
    </w:tbl>
    <w:p w14:paraId="75C4A6F1"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u w:val="single"/>
          <w:rtl/>
          <w:lang w:eastAsia="en-IL"/>
        </w:rPr>
        <w:t>מספר כתבי האישום שהוגשו בחלוקה לסעיף עבירה (הליכים שהסתיימו או שעדיין מתנהלים)</w:t>
      </w:r>
    </w:p>
    <w:tbl>
      <w:tblPr>
        <w:bidiVisual/>
        <w:tblW w:w="9000" w:type="dxa"/>
        <w:tblCellMar>
          <w:left w:w="0" w:type="dxa"/>
          <w:right w:w="0" w:type="dxa"/>
        </w:tblCellMar>
        <w:tblLook w:val="04A0" w:firstRow="1" w:lastRow="0" w:firstColumn="1" w:lastColumn="0" w:noHBand="0" w:noVBand="1"/>
      </w:tblPr>
      <w:tblGrid>
        <w:gridCol w:w="4643"/>
        <w:gridCol w:w="1083"/>
        <w:gridCol w:w="1083"/>
        <w:gridCol w:w="1073"/>
        <w:gridCol w:w="1124"/>
      </w:tblGrid>
      <w:tr w:rsidR="007007A1" w:rsidRPr="007007A1" w14:paraId="3F3C5BD7" w14:textId="77777777" w:rsidTr="007007A1">
        <w:trPr>
          <w:trHeight w:val="1260"/>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5625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השנה בה הוגש כתב האישום</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D96D28"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גרימת מוות ברשלנות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3D660E"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חבלה ברשלנות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810EB7"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אחר</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1E3DF9"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מס' הנאשמים בכתבי האישום </w:t>
            </w:r>
          </w:p>
        </w:tc>
      </w:tr>
      <w:tr w:rsidR="007007A1" w:rsidRPr="007007A1" w14:paraId="021E7C48"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C0D8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03715"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DF333"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7CBD0"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92ADB2"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0C0C9568"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277DF"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D9C2E"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D45FC"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2B401"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073F0"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3</w:t>
            </w:r>
          </w:p>
        </w:tc>
      </w:tr>
      <w:tr w:rsidR="007007A1" w:rsidRPr="007007A1" w14:paraId="50604B86"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C7AB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D9B3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7B4A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9CB7F"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0B1C2"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6</w:t>
            </w:r>
          </w:p>
        </w:tc>
      </w:tr>
      <w:tr w:rsidR="007007A1" w:rsidRPr="007007A1" w14:paraId="6E1798A6"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E2AD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D9DA6"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5973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1</w:t>
            </w:r>
          </w:p>
        </w:tc>
        <w:tc>
          <w:tcPr>
            <w:tcW w:w="1080" w:type="dxa"/>
            <w:noWrap/>
            <w:tcMar>
              <w:top w:w="0" w:type="dxa"/>
              <w:left w:w="108" w:type="dxa"/>
              <w:bottom w:w="0" w:type="dxa"/>
              <w:right w:w="108" w:type="dxa"/>
            </w:tcMar>
            <w:vAlign w:val="bottom"/>
            <w:hideMark/>
          </w:tcPr>
          <w:p w14:paraId="31D7BFE7"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E9BD7F"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1</w:t>
            </w:r>
          </w:p>
        </w:tc>
      </w:tr>
      <w:tr w:rsidR="007007A1" w:rsidRPr="007007A1" w14:paraId="20464423"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802D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24A6C"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DFA4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478F5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521D99"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lang w:eastAsia="en-IL"/>
              </w:rPr>
              <w:t>8</w:t>
            </w:r>
          </w:p>
        </w:tc>
      </w:tr>
      <w:tr w:rsidR="007007A1" w:rsidRPr="007007A1" w14:paraId="72D98975"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0A61E"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1979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1CC7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D725A"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68DC56"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11</w:t>
            </w:r>
          </w:p>
        </w:tc>
      </w:tr>
      <w:tr w:rsidR="007007A1" w:rsidRPr="007007A1" w14:paraId="48B6ADE6"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B52E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74180"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lang w:eastAsia="en-IL"/>
              </w:rPr>
              <w:t>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08BB72"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0BC647" w14:textId="77777777" w:rsidR="007007A1" w:rsidRPr="007007A1" w:rsidRDefault="007007A1" w:rsidP="007007A1">
            <w:pPr>
              <w:spacing w:after="0" w:line="240" w:lineRule="auto"/>
              <w:rPr>
                <w:rFonts w:ascii="Times New Roman" w:eastAsia="Times New Roman" w:hAnsi="Times New Roman" w:cs="Times New Roman"/>
                <w:sz w:val="24"/>
                <w:szCs w:val="24"/>
                <w:lang w:eastAsia="en-IL"/>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C25EAB"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15</w:t>
            </w:r>
          </w:p>
        </w:tc>
      </w:tr>
      <w:tr w:rsidR="007007A1" w:rsidRPr="007007A1" w14:paraId="7FE866E7" w14:textId="77777777" w:rsidTr="007007A1">
        <w:trPr>
          <w:trHeight w:val="315"/>
        </w:trPr>
        <w:tc>
          <w:tcPr>
            <w:tcW w:w="468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3A1A1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2017</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14:paraId="0706928F"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313B03"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B1AB5E"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c>
          <w:tcPr>
            <w:tcW w:w="1080" w:type="dxa"/>
            <w:tcBorders>
              <w:top w:val="nil"/>
              <w:left w:val="nil"/>
              <w:bottom w:val="nil"/>
              <w:right w:val="single" w:sz="8" w:space="0" w:color="auto"/>
            </w:tcBorders>
            <w:noWrap/>
            <w:tcMar>
              <w:top w:w="0" w:type="dxa"/>
              <w:left w:w="108" w:type="dxa"/>
              <w:bottom w:w="0" w:type="dxa"/>
              <w:right w:w="108" w:type="dxa"/>
            </w:tcMar>
            <w:vAlign w:val="bottom"/>
            <w:hideMark/>
          </w:tcPr>
          <w:p w14:paraId="1C0827B7"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2</w:t>
            </w:r>
          </w:p>
        </w:tc>
      </w:tr>
      <w:tr w:rsidR="007007A1" w:rsidRPr="007007A1" w14:paraId="6F8F3B26" w14:textId="77777777" w:rsidTr="007007A1">
        <w:trPr>
          <w:trHeight w:val="330"/>
        </w:trPr>
        <w:tc>
          <w:tcPr>
            <w:tcW w:w="4680"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1C09A7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b/>
                <w:bCs/>
                <w:sz w:val="24"/>
                <w:szCs w:val="24"/>
                <w:rtl/>
                <w:lang w:eastAsia="en-IL"/>
              </w:rPr>
              <w:t>סה"כ</w:t>
            </w:r>
          </w:p>
        </w:tc>
        <w:tc>
          <w:tcPr>
            <w:tcW w:w="108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24F19188"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15</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14:paraId="6268D5E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11</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14:paraId="6AE24A3E"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1</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471221"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lang w:eastAsia="en-IL"/>
              </w:rPr>
              <w:t>46</w:t>
            </w:r>
          </w:p>
        </w:tc>
      </w:tr>
      <w:tr w:rsidR="007007A1" w:rsidRPr="007007A1" w14:paraId="721921B2" w14:textId="77777777" w:rsidTr="007007A1">
        <w:trPr>
          <w:trHeight w:val="375"/>
        </w:trPr>
        <w:tc>
          <w:tcPr>
            <w:tcW w:w="468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64DD25BA" w14:textId="77777777" w:rsidR="007007A1" w:rsidRPr="007007A1" w:rsidRDefault="007007A1" w:rsidP="007007A1">
            <w:pPr>
              <w:spacing w:after="0" w:line="240" w:lineRule="auto"/>
              <w:rPr>
                <w:rFonts w:ascii="Times New Roman" w:eastAsia="Times New Roman" w:hAnsi="Times New Roman" w:cs="Times New Roman"/>
                <w:sz w:val="24"/>
                <w:szCs w:val="24"/>
                <w:lang w:eastAsia="en-IL"/>
              </w:rPr>
            </w:pPr>
          </w:p>
        </w:tc>
        <w:tc>
          <w:tcPr>
            <w:tcW w:w="108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12FD3367"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c>
          <w:tcPr>
            <w:tcW w:w="108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6A9C04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b/>
                <w:bCs/>
                <w:sz w:val="24"/>
                <w:szCs w:val="24"/>
                <w:rtl/>
                <w:lang w:eastAsia="en-IL"/>
              </w:rPr>
              <w:t>27 כתבי אישום</w:t>
            </w:r>
          </w:p>
        </w:tc>
        <w:tc>
          <w:tcPr>
            <w:tcW w:w="1080"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09430133"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91AFFB"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bl>
    <w:p w14:paraId="492EB0FC"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Arial" w:eastAsia="Times New Roman" w:hAnsi="Arial" w:cs="Arial"/>
          <w:b/>
          <w:bCs/>
          <w:sz w:val="24"/>
          <w:szCs w:val="24"/>
          <w:u w:val="single"/>
          <w:rtl/>
          <w:lang w:eastAsia="en-IL"/>
        </w:rPr>
        <w:lastRenderedPageBreak/>
        <w:t>מספר כתבי האישום שההליך בעניינם הסתיים בחלוקה לשנים</w:t>
      </w:r>
    </w:p>
    <w:tbl>
      <w:tblPr>
        <w:bidiVisual/>
        <w:tblW w:w="6840" w:type="dxa"/>
        <w:tblCellMar>
          <w:left w:w="0" w:type="dxa"/>
          <w:right w:w="0" w:type="dxa"/>
        </w:tblCellMar>
        <w:tblLook w:val="04A0" w:firstRow="1" w:lastRow="0" w:firstColumn="1" w:lastColumn="0" w:noHBand="0" w:noVBand="1"/>
      </w:tblPr>
      <w:tblGrid>
        <w:gridCol w:w="4660"/>
        <w:gridCol w:w="1100"/>
        <w:gridCol w:w="1080"/>
      </w:tblGrid>
      <w:tr w:rsidR="007007A1" w:rsidRPr="007007A1" w14:paraId="1CCDDB67" w14:textId="77777777" w:rsidTr="007007A1">
        <w:trPr>
          <w:trHeight w:val="1890"/>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88F30"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השנה בה הוגש כתב האישום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A9DD89"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מספר כתבי אישום מתנהלים</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A493FB"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מס' כתבי אישום שההליך השיפוטי בגינם הסתיים </w:t>
            </w:r>
          </w:p>
        </w:tc>
      </w:tr>
      <w:tr w:rsidR="007007A1" w:rsidRPr="007007A1" w14:paraId="647D89AE"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6C261"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BD36A"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A4AA0"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543B0B46"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7C2D6"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A516E"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29996"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1</w:t>
            </w:r>
          </w:p>
        </w:tc>
      </w:tr>
      <w:tr w:rsidR="007007A1" w:rsidRPr="007007A1" w14:paraId="2010D9FE"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C58F7"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DE215"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71E44"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4</w:t>
            </w:r>
          </w:p>
        </w:tc>
      </w:tr>
      <w:tr w:rsidR="007007A1" w:rsidRPr="007007A1" w14:paraId="32B3631D"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79D18"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287ED"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53949"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1</w:t>
            </w:r>
          </w:p>
        </w:tc>
      </w:tr>
      <w:tr w:rsidR="007007A1" w:rsidRPr="007007A1" w14:paraId="33C022B2"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E0EDA"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C8755"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07BF3"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r>
      <w:tr w:rsidR="007007A1" w:rsidRPr="007007A1" w14:paraId="552F73A6"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FE599"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7FDBE"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E2FE0"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3</w:t>
            </w:r>
          </w:p>
        </w:tc>
      </w:tr>
      <w:tr w:rsidR="007007A1" w:rsidRPr="007007A1" w14:paraId="2BABDB93"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487E4"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2016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DEE79" w14:textId="77777777" w:rsidR="007007A1" w:rsidRPr="007007A1" w:rsidRDefault="007007A1" w:rsidP="007007A1">
            <w:pPr>
              <w:spacing w:before="100" w:beforeAutospacing="1" w:after="100" w:afterAutospacing="1" w:line="240" w:lineRule="auto"/>
              <w:jc w:val="right"/>
              <w:rPr>
                <w:rFonts w:ascii="Times New Roman" w:eastAsia="Times New Roman" w:hAnsi="Times New Roman" w:cs="Times New Roman"/>
                <w:sz w:val="24"/>
                <w:szCs w:val="24"/>
                <w:rtl/>
                <w:lang w:eastAsia="en-IL"/>
              </w:rPr>
            </w:pPr>
            <w:r w:rsidRPr="007007A1">
              <w:rPr>
                <w:rFonts w:ascii="Arial" w:eastAsia="Times New Roman" w:hAnsi="Arial" w:cs="Arial"/>
                <w:sz w:val="24"/>
                <w:szCs w:val="24"/>
                <w:lang w:eastAsia="en-IL"/>
              </w:rPr>
              <w:t>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027E15" w14:textId="77777777" w:rsidR="007007A1" w:rsidRPr="007007A1" w:rsidRDefault="007007A1" w:rsidP="007007A1">
            <w:pPr>
              <w:spacing w:before="100" w:beforeAutospacing="1" w:after="100" w:afterAutospacing="1" w:line="240" w:lineRule="auto"/>
              <w:jc w:val="right"/>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1</w:t>
            </w:r>
          </w:p>
        </w:tc>
      </w:tr>
      <w:tr w:rsidR="007007A1" w:rsidRPr="007007A1" w14:paraId="325BFB85" w14:textId="77777777" w:rsidTr="007007A1">
        <w:trPr>
          <w:trHeight w:val="315"/>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3581C"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835D7" w14:textId="77777777" w:rsidR="007007A1" w:rsidRPr="007007A1" w:rsidRDefault="007007A1" w:rsidP="007007A1">
            <w:pPr>
              <w:spacing w:before="100" w:beforeAutospacing="1" w:after="100" w:afterAutospacing="1" w:line="240" w:lineRule="auto"/>
              <w:jc w:val="right"/>
              <w:rPr>
                <w:rFonts w:ascii="Times New Roman" w:eastAsia="Times New Roman" w:hAnsi="Times New Roman" w:cs="Times New Roman"/>
                <w:sz w:val="24"/>
                <w:szCs w:val="24"/>
                <w:rtl/>
                <w:lang w:eastAsia="en-IL"/>
              </w:rPr>
            </w:pPr>
            <w:r w:rsidRPr="007007A1">
              <w:rPr>
                <w:rFonts w:ascii="Arial" w:eastAsia="Times New Roman" w:hAnsi="Arial" w:cs="Arial"/>
                <w:sz w:val="24"/>
                <w:szCs w:val="24"/>
                <w:lang w:eastAsia="en-IL"/>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A642C3" w14:textId="77777777" w:rsidR="007007A1" w:rsidRPr="007007A1" w:rsidRDefault="007007A1" w:rsidP="007007A1">
            <w:pPr>
              <w:spacing w:after="0" w:line="240" w:lineRule="auto"/>
              <w:rPr>
                <w:rFonts w:ascii="Times New Roman" w:eastAsia="Times New Roman" w:hAnsi="Times New Roman" w:cs="Times New Roman"/>
                <w:sz w:val="24"/>
                <w:szCs w:val="24"/>
                <w:lang w:eastAsia="en-IL"/>
              </w:rPr>
            </w:pPr>
          </w:p>
        </w:tc>
      </w:tr>
    </w:tbl>
    <w:p w14:paraId="0DCCFE80"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Arial" w:eastAsia="Times New Roman" w:hAnsi="Arial" w:cs="Arial"/>
          <w:b/>
          <w:bCs/>
          <w:sz w:val="24"/>
          <w:szCs w:val="24"/>
          <w:u w:val="single"/>
          <w:rtl/>
          <w:lang w:eastAsia="en-IL"/>
        </w:rPr>
        <w:t>הליכים שיפוטיים שהסתיימו</w:t>
      </w:r>
    </w:p>
    <w:tbl>
      <w:tblPr>
        <w:bidiVisual/>
        <w:tblW w:w="10640" w:type="dxa"/>
        <w:tblCellMar>
          <w:left w:w="0" w:type="dxa"/>
          <w:right w:w="0" w:type="dxa"/>
        </w:tblCellMar>
        <w:tblLook w:val="04A0" w:firstRow="1" w:lastRow="0" w:firstColumn="1" w:lastColumn="0" w:noHBand="0" w:noVBand="1"/>
      </w:tblPr>
      <w:tblGrid>
        <w:gridCol w:w="4665"/>
        <w:gridCol w:w="1080"/>
        <w:gridCol w:w="1260"/>
        <w:gridCol w:w="1179"/>
        <w:gridCol w:w="1220"/>
        <w:gridCol w:w="1220"/>
        <w:gridCol w:w="16"/>
      </w:tblGrid>
      <w:tr w:rsidR="007007A1" w:rsidRPr="007007A1" w14:paraId="24F3ECEB" w14:textId="77777777" w:rsidTr="007007A1">
        <w:trPr>
          <w:trHeight w:val="1102"/>
        </w:trPr>
        <w:tc>
          <w:tcPr>
            <w:tcW w:w="4680"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C4C3E88"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שנת הגשת כתב האישום</w:t>
            </w:r>
          </w:p>
        </w:tc>
        <w:tc>
          <w:tcPr>
            <w:tcW w:w="1080" w:type="dxa"/>
            <w:vMerge w:val="restart"/>
            <w:tcBorders>
              <w:top w:val="single" w:sz="8" w:space="0" w:color="auto"/>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6407AC9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מס' כתבי האישום שההליך בעניינם הסתיים</w:t>
            </w:r>
          </w:p>
        </w:tc>
        <w:tc>
          <w:tcPr>
            <w:tcW w:w="126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574034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מס' הנאשמים</w:t>
            </w:r>
          </w:p>
        </w:tc>
        <w:tc>
          <w:tcPr>
            <w:tcW w:w="118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EADA08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מתוכם - הורשעו</w:t>
            </w:r>
          </w:p>
        </w:tc>
        <w:tc>
          <w:tcPr>
            <w:tcW w:w="122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5F3C1DF"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מתוכם – זוכו/כתב האישום נמחק</w:t>
            </w:r>
          </w:p>
        </w:tc>
        <w:tc>
          <w:tcPr>
            <w:tcW w:w="122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3613A49"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מתוכם</w:t>
            </w:r>
            <w:bookmarkStart w:id="1" w:name="_GoBack"/>
            <w:bookmarkEnd w:id="1"/>
            <w:r w:rsidRPr="007007A1">
              <w:rPr>
                <w:rFonts w:ascii="Arial" w:eastAsia="Times New Roman" w:hAnsi="Arial" w:cs="Arial"/>
                <w:b/>
                <w:bCs/>
                <w:sz w:val="24"/>
                <w:szCs w:val="24"/>
                <w:rtl/>
                <w:lang w:eastAsia="en-IL"/>
              </w:rPr>
              <w:t xml:space="preserve"> - אי הרשעה</w:t>
            </w:r>
          </w:p>
        </w:tc>
        <w:tc>
          <w:tcPr>
            <w:tcW w:w="6" w:type="dxa"/>
            <w:vAlign w:val="center"/>
            <w:hideMark/>
          </w:tcPr>
          <w:p w14:paraId="7405FE26"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r>
      <w:tr w:rsidR="007007A1" w:rsidRPr="007007A1" w14:paraId="30CE0045" w14:textId="77777777" w:rsidTr="007007A1">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CD4C99D"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4A47687F"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3080AF86"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53DA63EC"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7C383012"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12990C7E"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6" w:type="dxa"/>
            <w:vAlign w:val="center"/>
            <w:hideMark/>
          </w:tcPr>
          <w:p w14:paraId="1480EB42"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1FFADB4D" w14:textId="77777777" w:rsidTr="007007A1">
        <w:trPr>
          <w:trHeight w:val="108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9ED20DE"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4912E1A1"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7466B66D"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237164BE"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50328B4A"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0" w:type="auto"/>
            <w:vMerge/>
            <w:tcBorders>
              <w:top w:val="single" w:sz="8" w:space="0" w:color="auto"/>
              <w:left w:val="nil"/>
              <w:bottom w:val="single" w:sz="8" w:space="0" w:color="000000"/>
              <w:right w:val="single" w:sz="8" w:space="0" w:color="auto"/>
            </w:tcBorders>
            <w:vAlign w:val="center"/>
            <w:hideMark/>
          </w:tcPr>
          <w:p w14:paraId="3E166D8D" w14:textId="77777777" w:rsidR="007007A1" w:rsidRPr="007007A1" w:rsidRDefault="007007A1" w:rsidP="007007A1">
            <w:pPr>
              <w:bidi/>
              <w:spacing w:after="0" w:line="240" w:lineRule="auto"/>
              <w:rPr>
                <w:rFonts w:ascii="Times New Roman" w:eastAsia="Times New Roman" w:hAnsi="Times New Roman" w:cs="Times New Roman"/>
                <w:sz w:val="24"/>
                <w:szCs w:val="24"/>
                <w:lang w:eastAsia="en-IL"/>
              </w:rPr>
            </w:pPr>
          </w:p>
        </w:tc>
        <w:tc>
          <w:tcPr>
            <w:tcW w:w="6" w:type="dxa"/>
            <w:vAlign w:val="center"/>
            <w:hideMark/>
          </w:tcPr>
          <w:p w14:paraId="7D7581A0"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42FD933E" w14:textId="77777777" w:rsidTr="007007A1">
        <w:trPr>
          <w:trHeight w:val="330"/>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BDC5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2011</w:t>
            </w:r>
          </w:p>
        </w:tc>
        <w:tc>
          <w:tcPr>
            <w:tcW w:w="1080" w:type="dxa"/>
            <w:tcBorders>
              <w:top w:val="nil"/>
              <w:left w:val="nil"/>
              <w:bottom w:val="single" w:sz="8" w:space="0" w:color="auto"/>
              <w:right w:val="nil"/>
            </w:tcBorders>
            <w:shd w:val="clear" w:color="auto" w:fill="C6D9F1"/>
            <w:tcMar>
              <w:top w:w="0" w:type="dxa"/>
              <w:left w:w="108" w:type="dxa"/>
              <w:bottom w:w="0" w:type="dxa"/>
              <w:right w:w="108" w:type="dxa"/>
            </w:tcMar>
            <w:vAlign w:val="center"/>
            <w:hideMark/>
          </w:tcPr>
          <w:p w14:paraId="43008E08"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26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755AB24"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3</w:t>
            </w:r>
          </w:p>
        </w:tc>
        <w:tc>
          <w:tcPr>
            <w:tcW w:w="11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C933C9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3</w:t>
            </w:r>
          </w:p>
        </w:tc>
        <w:tc>
          <w:tcPr>
            <w:tcW w:w="12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3787AB98"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EB81D"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c>
          <w:tcPr>
            <w:tcW w:w="6" w:type="dxa"/>
            <w:vAlign w:val="center"/>
            <w:hideMark/>
          </w:tcPr>
          <w:p w14:paraId="177A1ED5"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75AFC38A" w14:textId="77777777" w:rsidTr="007007A1">
        <w:trPr>
          <w:trHeight w:val="330"/>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67E67"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2012</w:t>
            </w:r>
          </w:p>
        </w:tc>
        <w:tc>
          <w:tcPr>
            <w:tcW w:w="1080" w:type="dxa"/>
            <w:tcBorders>
              <w:top w:val="nil"/>
              <w:left w:val="nil"/>
              <w:bottom w:val="single" w:sz="8" w:space="0" w:color="auto"/>
              <w:right w:val="nil"/>
            </w:tcBorders>
            <w:shd w:val="clear" w:color="auto" w:fill="C6D9F1"/>
            <w:tcMar>
              <w:top w:w="0" w:type="dxa"/>
              <w:left w:w="108" w:type="dxa"/>
              <w:bottom w:w="0" w:type="dxa"/>
              <w:right w:w="108" w:type="dxa"/>
            </w:tcMar>
            <w:vAlign w:val="center"/>
            <w:hideMark/>
          </w:tcPr>
          <w:p w14:paraId="352BF6D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c>
          <w:tcPr>
            <w:tcW w:w="126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2A912CE"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6</w:t>
            </w:r>
          </w:p>
        </w:tc>
        <w:tc>
          <w:tcPr>
            <w:tcW w:w="11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B436956"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3</w:t>
            </w:r>
          </w:p>
        </w:tc>
        <w:tc>
          <w:tcPr>
            <w:tcW w:w="12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42CF5D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2</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E0EF2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6" w:type="dxa"/>
            <w:vAlign w:val="center"/>
            <w:hideMark/>
          </w:tcPr>
          <w:p w14:paraId="4F43C37F"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r>
      <w:tr w:rsidR="007007A1" w:rsidRPr="007007A1" w14:paraId="79309E34" w14:textId="77777777" w:rsidTr="007007A1">
        <w:trPr>
          <w:trHeight w:val="330"/>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D6E41"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2013</w:t>
            </w:r>
          </w:p>
        </w:tc>
        <w:tc>
          <w:tcPr>
            <w:tcW w:w="1080" w:type="dxa"/>
            <w:tcBorders>
              <w:top w:val="nil"/>
              <w:left w:val="nil"/>
              <w:bottom w:val="single" w:sz="8" w:space="0" w:color="auto"/>
              <w:right w:val="nil"/>
            </w:tcBorders>
            <w:shd w:val="clear" w:color="auto" w:fill="C6D9F1"/>
            <w:tcMar>
              <w:top w:w="0" w:type="dxa"/>
              <w:left w:w="108" w:type="dxa"/>
              <w:bottom w:w="0" w:type="dxa"/>
              <w:right w:w="108" w:type="dxa"/>
            </w:tcMar>
            <w:vAlign w:val="center"/>
            <w:hideMark/>
          </w:tcPr>
          <w:p w14:paraId="19ABADD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26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A383504"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1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956D198"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2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2B3605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1</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43603"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6" w:type="dxa"/>
            <w:vAlign w:val="center"/>
            <w:hideMark/>
          </w:tcPr>
          <w:p w14:paraId="6918D858"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51A70523" w14:textId="77777777" w:rsidTr="007007A1">
        <w:trPr>
          <w:trHeight w:val="330"/>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3222D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2014</w:t>
            </w:r>
          </w:p>
        </w:tc>
        <w:tc>
          <w:tcPr>
            <w:tcW w:w="1080" w:type="dxa"/>
            <w:tcBorders>
              <w:top w:val="nil"/>
              <w:left w:val="nil"/>
              <w:bottom w:val="single" w:sz="8" w:space="0" w:color="auto"/>
              <w:right w:val="nil"/>
            </w:tcBorders>
            <w:shd w:val="clear" w:color="auto" w:fill="C6D9F1"/>
            <w:tcMar>
              <w:top w:w="0" w:type="dxa"/>
              <w:left w:w="108" w:type="dxa"/>
              <w:bottom w:w="0" w:type="dxa"/>
              <w:right w:w="108" w:type="dxa"/>
            </w:tcMar>
            <w:vAlign w:val="center"/>
            <w:hideMark/>
          </w:tcPr>
          <w:p w14:paraId="73701009"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c>
          <w:tcPr>
            <w:tcW w:w="126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2D24195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6</w:t>
            </w:r>
          </w:p>
        </w:tc>
        <w:tc>
          <w:tcPr>
            <w:tcW w:w="11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CEDD46F"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c>
          <w:tcPr>
            <w:tcW w:w="12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2AFB8363"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C375F"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6" w:type="dxa"/>
            <w:vAlign w:val="center"/>
            <w:hideMark/>
          </w:tcPr>
          <w:p w14:paraId="3A14F926"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r>
      <w:tr w:rsidR="007007A1" w:rsidRPr="007007A1" w14:paraId="1E0C9045" w14:textId="77777777" w:rsidTr="007007A1">
        <w:trPr>
          <w:trHeight w:val="330"/>
        </w:trPr>
        <w:tc>
          <w:tcPr>
            <w:tcW w:w="468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F7D03D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2015</w:t>
            </w:r>
          </w:p>
        </w:tc>
        <w:tc>
          <w:tcPr>
            <w:tcW w:w="1080" w:type="dxa"/>
            <w:shd w:val="clear" w:color="auto" w:fill="C6D9F1"/>
            <w:tcMar>
              <w:top w:w="0" w:type="dxa"/>
              <w:left w:w="108" w:type="dxa"/>
              <w:bottom w:w="0" w:type="dxa"/>
              <w:right w:w="108" w:type="dxa"/>
            </w:tcMar>
            <w:vAlign w:val="center"/>
            <w:hideMark/>
          </w:tcPr>
          <w:p w14:paraId="4A09B0D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3</w:t>
            </w:r>
          </w:p>
        </w:tc>
        <w:tc>
          <w:tcPr>
            <w:tcW w:w="1260" w:type="dxa"/>
            <w:tcBorders>
              <w:top w:val="nil"/>
              <w:left w:val="single" w:sz="8" w:space="0" w:color="auto"/>
              <w:bottom w:val="nil"/>
              <w:right w:val="nil"/>
            </w:tcBorders>
            <w:tcMar>
              <w:top w:w="0" w:type="dxa"/>
              <w:left w:w="108" w:type="dxa"/>
              <w:bottom w:w="0" w:type="dxa"/>
              <w:right w:w="108" w:type="dxa"/>
            </w:tcMar>
            <w:vAlign w:val="center"/>
            <w:hideMark/>
          </w:tcPr>
          <w:p w14:paraId="70D2F2FC"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4</w:t>
            </w:r>
          </w:p>
        </w:tc>
        <w:tc>
          <w:tcPr>
            <w:tcW w:w="1180" w:type="dxa"/>
            <w:tcBorders>
              <w:top w:val="nil"/>
              <w:left w:val="single" w:sz="8" w:space="0" w:color="auto"/>
              <w:bottom w:val="nil"/>
              <w:right w:val="nil"/>
            </w:tcBorders>
            <w:tcMar>
              <w:top w:w="0" w:type="dxa"/>
              <w:left w:w="108" w:type="dxa"/>
              <w:bottom w:w="0" w:type="dxa"/>
              <w:right w:w="108" w:type="dxa"/>
            </w:tcMar>
            <w:vAlign w:val="center"/>
            <w:hideMark/>
          </w:tcPr>
          <w:p w14:paraId="67C0B28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3</w:t>
            </w:r>
          </w:p>
        </w:tc>
        <w:tc>
          <w:tcPr>
            <w:tcW w:w="1220" w:type="dxa"/>
            <w:tcBorders>
              <w:top w:val="nil"/>
              <w:left w:val="single" w:sz="8" w:space="0" w:color="auto"/>
              <w:bottom w:val="nil"/>
              <w:right w:val="nil"/>
            </w:tcBorders>
            <w:tcMar>
              <w:top w:w="0" w:type="dxa"/>
              <w:left w:w="108" w:type="dxa"/>
              <w:bottom w:w="0" w:type="dxa"/>
              <w:right w:w="108" w:type="dxa"/>
            </w:tcMar>
            <w:vAlign w:val="center"/>
            <w:hideMark/>
          </w:tcPr>
          <w:p w14:paraId="668E6838"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22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0411180"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6" w:type="dxa"/>
            <w:vAlign w:val="center"/>
            <w:hideMark/>
          </w:tcPr>
          <w:p w14:paraId="5B491737"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6020A25A" w14:textId="77777777" w:rsidTr="007007A1">
        <w:trPr>
          <w:trHeight w:val="330"/>
        </w:trPr>
        <w:tc>
          <w:tcPr>
            <w:tcW w:w="468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63076F8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rtl/>
                <w:lang w:eastAsia="en-IL"/>
              </w:rPr>
              <w:t>2016</w:t>
            </w:r>
          </w:p>
        </w:tc>
        <w:tc>
          <w:tcPr>
            <w:tcW w:w="1080" w:type="dxa"/>
            <w:tcBorders>
              <w:top w:val="single" w:sz="8" w:space="0" w:color="auto"/>
              <w:left w:val="single" w:sz="8" w:space="0" w:color="auto"/>
              <w:bottom w:val="single" w:sz="8" w:space="0" w:color="auto"/>
              <w:right w:val="nil"/>
            </w:tcBorders>
            <w:shd w:val="clear" w:color="auto" w:fill="C6D9F1"/>
            <w:tcMar>
              <w:top w:w="0" w:type="dxa"/>
              <w:left w:w="108" w:type="dxa"/>
              <w:bottom w:w="0" w:type="dxa"/>
              <w:right w:w="108" w:type="dxa"/>
            </w:tcMar>
            <w:vAlign w:val="center"/>
            <w:hideMark/>
          </w:tcPr>
          <w:p w14:paraId="2F4E33F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2C146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175117"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rtl/>
                <w:lang w:eastAsia="en-IL"/>
              </w:rPr>
              <w:t>1</w:t>
            </w:r>
          </w:p>
        </w:tc>
        <w:tc>
          <w:tcPr>
            <w:tcW w:w="1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8EB67F"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c>
          <w:tcPr>
            <w:tcW w:w="1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FC097D"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c>
          <w:tcPr>
            <w:tcW w:w="6" w:type="dxa"/>
            <w:vAlign w:val="center"/>
            <w:hideMark/>
          </w:tcPr>
          <w:p w14:paraId="3E04FB11" w14:textId="77777777" w:rsidR="007007A1" w:rsidRPr="007007A1" w:rsidRDefault="007007A1" w:rsidP="007007A1">
            <w:pPr>
              <w:bidi/>
              <w:spacing w:after="0" w:line="240" w:lineRule="auto"/>
              <w:rPr>
                <w:rFonts w:ascii="Times New Roman" w:eastAsia="Times New Roman" w:hAnsi="Times New Roman" w:cs="Times New Roman"/>
                <w:sz w:val="20"/>
                <w:szCs w:val="20"/>
                <w:lang w:eastAsia="en-IL"/>
              </w:rPr>
            </w:pPr>
          </w:p>
        </w:tc>
      </w:tr>
      <w:tr w:rsidR="007007A1" w:rsidRPr="007007A1" w14:paraId="1E8BF429" w14:textId="77777777" w:rsidTr="007007A1">
        <w:trPr>
          <w:trHeight w:val="330"/>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1351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b/>
                <w:bCs/>
                <w:sz w:val="24"/>
                <w:szCs w:val="24"/>
                <w:rtl/>
                <w:lang w:eastAsia="en-IL"/>
              </w:rPr>
              <w:t>סה"כ</w:t>
            </w:r>
          </w:p>
        </w:tc>
        <w:tc>
          <w:tcPr>
            <w:tcW w:w="1080" w:type="dxa"/>
            <w:tcBorders>
              <w:top w:val="nil"/>
              <w:left w:val="nil"/>
              <w:bottom w:val="single" w:sz="8" w:space="0" w:color="auto"/>
              <w:right w:val="nil"/>
            </w:tcBorders>
            <w:shd w:val="clear" w:color="auto" w:fill="C6D9F1"/>
            <w:tcMar>
              <w:top w:w="0" w:type="dxa"/>
              <w:left w:w="108" w:type="dxa"/>
              <w:bottom w:w="0" w:type="dxa"/>
              <w:right w:w="108" w:type="dxa"/>
            </w:tcMar>
            <w:vAlign w:val="center"/>
            <w:hideMark/>
          </w:tcPr>
          <w:p w14:paraId="4C5F218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14</w:t>
            </w:r>
          </w:p>
        </w:tc>
        <w:tc>
          <w:tcPr>
            <w:tcW w:w="126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89708C4"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21</w:t>
            </w:r>
          </w:p>
        </w:tc>
        <w:tc>
          <w:tcPr>
            <w:tcW w:w="118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53852A5"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14</w:t>
            </w:r>
          </w:p>
        </w:tc>
        <w:tc>
          <w:tcPr>
            <w:tcW w:w="12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CC75F2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5</w:t>
            </w:r>
          </w:p>
        </w:tc>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9510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2</w:t>
            </w:r>
          </w:p>
        </w:tc>
        <w:tc>
          <w:tcPr>
            <w:tcW w:w="6" w:type="dxa"/>
            <w:vAlign w:val="center"/>
            <w:hideMark/>
          </w:tcPr>
          <w:p w14:paraId="0FC548F1" w14:textId="77777777" w:rsidR="007007A1" w:rsidRPr="007007A1" w:rsidRDefault="007007A1" w:rsidP="007007A1">
            <w:pPr>
              <w:spacing w:after="0" w:line="240" w:lineRule="auto"/>
              <w:rPr>
                <w:rFonts w:ascii="Times New Roman" w:eastAsia="Times New Roman" w:hAnsi="Times New Roman" w:cs="Times New Roman"/>
                <w:sz w:val="24"/>
                <w:szCs w:val="24"/>
                <w:rtl/>
                <w:lang w:eastAsia="en-IL"/>
              </w:rPr>
            </w:pPr>
          </w:p>
        </w:tc>
      </w:tr>
    </w:tbl>
    <w:p w14:paraId="7A227B9E"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Arial" w:eastAsia="Times New Roman" w:hAnsi="Arial" w:cs="Arial"/>
          <w:b/>
          <w:bCs/>
          <w:sz w:val="24"/>
          <w:szCs w:val="24"/>
          <w:u w:val="single"/>
          <w:rtl/>
          <w:lang w:eastAsia="en-IL"/>
        </w:rPr>
        <w:t>נתונים בדבר ענישה</w:t>
      </w:r>
    </w:p>
    <w:tbl>
      <w:tblPr>
        <w:bidiVisual/>
        <w:tblW w:w="7560" w:type="dxa"/>
        <w:tblCellMar>
          <w:left w:w="0" w:type="dxa"/>
          <w:right w:w="0" w:type="dxa"/>
        </w:tblCellMar>
        <w:tblLook w:val="04A0" w:firstRow="1" w:lastRow="0" w:firstColumn="1" w:lastColumn="0" w:noHBand="0" w:noVBand="1"/>
      </w:tblPr>
      <w:tblGrid>
        <w:gridCol w:w="1080"/>
        <w:gridCol w:w="1080"/>
        <w:gridCol w:w="1080"/>
        <w:gridCol w:w="1080"/>
        <w:gridCol w:w="1080"/>
        <w:gridCol w:w="1170"/>
        <w:gridCol w:w="1080"/>
      </w:tblGrid>
      <w:tr w:rsidR="007007A1" w:rsidRPr="007007A1" w14:paraId="245D7A66" w14:textId="77777777" w:rsidTr="007007A1">
        <w:trPr>
          <w:trHeight w:val="315"/>
        </w:trPr>
        <w:tc>
          <w:tcPr>
            <w:tcW w:w="10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ED5B7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מאסר בעבודות שירות</w:t>
            </w:r>
          </w:p>
        </w:tc>
        <w:tc>
          <w:tcPr>
            <w:tcW w:w="1080"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07DB3390"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מאסר על תנאי </w:t>
            </w:r>
          </w:p>
        </w:tc>
        <w:tc>
          <w:tcPr>
            <w:tcW w:w="108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7F55BF6D"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צו שירות לתועלת הציבור (</w:t>
            </w:r>
            <w:proofErr w:type="spellStart"/>
            <w:r w:rsidRPr="007007A1">
              <w:rPr>
                <w:rFonts w:ascii="Arial" w:eastAsia="Times New Roman" w:hAnsi="Arial" w:cs="Arial"/>
                <w:b/>
                <w:bCs/>
                <w:sz w:val="24"/>
                <w:szCs w:val="24"/>
                <w:rtl/>
                <w:lang w:eastAsia="en-IL"/>
              </w:rPr>
              <w:t>של"צ</w:t>
            </w:r>
            <w:proofErr w:type="spellEnd"/>
            <w:r w:rsidRPr="007007A1">
              <w:rPr>
                <w:rFonts w:ascii="Arial" w:eastAsia="Times New Roman" w:hAnsi="Arial" w:cs="Arial"/>
                <w:b/>
                <w:bCs/>
                <w:sz w:val="24"/>
                <w:szCs w:val="24"/>
                <w:rtl/>
                <w:lang w:eastAsia="en-IL"/>
              </w:rPr>
              <w:t>)</w:t>
            </w:r>
          </w:p>
        </w:tc>
        <w:tc>
          <w:tcPr>
            <w:tcW w:w="108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179DA792"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פיצוי</w:t>
            </w:r>
          </w:p>
        </w:tc>
        <w:tc>
          <w:tcPr>
            <w:tcW w:w="108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16323FF8"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קנס</w:t>
            </w:r>
          </w:p>
        </w:tc>
        <w:tc>
          <w:tcPr>
            <w:tcW w:w="10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CCBBDA"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 xml:space="preserve">התחייבות </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4F5ADB" w14:textId="77777777" w:rsidR="007007A1" w:rsidRPr="007007A1" w:rsidRDefault="007007A1" w:rsidP="007007A1">
            <w:pPr>
              <w:bidi/>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b/>
                <w:bCs/>
                <w:sz w:val="24"/>
                <w:szCs w:val="24"/>
                <w:rtl/>
                <w:lang w:eastAsia="en-IL"/>
              </w:rPr>
              <w:t>צו מבחן</w:t>
            </w:r>
          </w:p>
        </w:tc>
      </w:tr>
      <w:tr w:rsidR="007007A1" w:rsidRPr="007007A1" w14:paraId="3A75F568" w14:textId="77777777" w:rsidTr="007007A1">
        <w:trPr>
          <w:trHeight w:val="300"/>
        </w:trPr>
        <w:tc>
          <w:tcPr>
            <w:tcW w:w="1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2D51AE"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rtl/>
                <w:lang w:eastAsia="en-IL"/>
              </w:rPr>
            </w:pPr>
            <w:r w:rsidRPr="007007A1">
              <w:rPr>
                <w:rFonts w:ascii="Arial" w:eastAsia="Times New Roman" w:hAnsi="Arial" w:cs="Arial"/>
                <w:sz w:val="24"/>
                <w:szCs w:val="24"/>
                <w:lang w:eastAsia="en-IL"/>
              </w:rPr>
              <w:t>6</w:t>
            </w:r>
          </w:p>
        </w:tc>
        <w:tc>
          <w:tcPr>
            <w:tcW w:w="1080" w:type="dxa"/>
            <w:tcBorders>
              <w:top w:val="nil"/>
              <w:left w:val="nil"/>
              <w:bottom w:val="single" w:sz="8" w:space="0" w:color="auto"/>
              <w:right w:val="nil"/>
            </w:tcBorders>
            <w:noWrap/>
            <w:tcMar>
              <w:top w:w="0" w:type="dxa"/>
              <w:left w:w="108" w:type="dxa"/>
              <w:bottom w:w="0" w:type="dxa"/>
              <w:right w:w="108" w:type="dxa"/>
            </w:tcMar>
            <w:vAlign w:val="center"/>
            <w:hideMark/>
          </w:tcPr>
          <w:p w14:paraId="32A343A6"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12</w:t>
            </w:r>
          </w:p>
        </w:tc>
        <w:tc>
          <w:tcPr>
            <w:tcW w:w="10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3C66FD10"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4</w:t>
            </w:r>
          </w:p>
        </w:tc>
        <w:tc>
          <w:tcPr>
            <w:tcW w:w="10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56072CC6"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11</w:t>
            </w:r>
          </w:p>
        </w:tc>
        <w:tc>
          <w:tcPr>
            <w:tcW w:w="108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6C4D7939"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3</w:t>
            </w:r>
          </w:p>
        </w:tc>
        <w:tc>
          <w:tcPr>
            <w:tcW w:w="1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3082FB"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1DBA04" w14:textId="77777777" w:rsidR="007007A1" w:rsidRPr="007007A1" w:rsidRDefault="007007A1" w:rsidP="007007A1">
            <w:pPr>
              <w:spacing w:before="100" w:beforeAutospacing="1" w:after="100" w:afterAutospacing="1" w:line="240" w:lineRule="auto"/>
              <w:jc w:val="center"/>
              <w:rPr>
                <w:rFonts w:ascii="Times New Roman" w:eastAsia="Times New Roman" w:hAnsi="Times New Roman" w:cs="Times New Roman"/>
                <w:sz w:val="24"/>
                <w:szCs w:val="24"/>
                <w:lang w:eastAsia="en-IL"/>
              </w:rPr>
            </w:pPr>
            <w:r w:rsidRPr="007007A1">
              <w:rPr>
                <w:rFonts w:ascii="Arial" w:eastAsia="Times New Roman" w:hAnsi="Arial" w:cs="Arial"/>
                <w:sz w:val="24"/>
                <w:szCs w:val="24"/>
                <w:lang w:eastAsia="en-IL"/>
              </w:rPr>
              <w:t>3</w:t>
            </w:r>
          </w:p>
        </w:tc>
      </w:tr>
    </w:tbl>
    <w:p w14:paraId="5A547B55"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lang w:eastAsia="en-IL"/>
        </w:rPr>
      </w:pPr>
      <w:r w:rsidRPr="007007A1">
        <w:rPr>
          <w:rFonts w:ascii="David" w:eastAsia="Times New Roman" w:hAnsi="David" w:cs="David"/>
          <w:color w:val="1F497D"/>
          <w:sz w:val="24"/>
          <w:szCs w:val="24"/>
          <w:rtl/>
          <w:lang w:eastAsia="en-IL"/>
        </w:rPr>
        <w:t>בברכה,</w:t>
      </w:r>
    </w:p>
    <w:p w14:paraId="760C62F0"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David" w:eastAsia="Times New Roman" w:hAnsi="David" w:cs="David"/>
          <w:color w:val="1F497D"/>
          <w:sz w:val="24"/>
          <w:szCs w:val="24"/>
          <w:rtl/>
          <w:lang w:eastAsia="en-IL"/>
        </w:rPr>
        <w:lastRenderedPageBreak/>
        <w:t>רחלי רובינסון</w:t>
      </w:r>
    </w:p>
    <w:p w14:paraId="543C8314"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David" w:eastAsia="Times New Roman" w:hAnsi="David" w:cs="David"/>
          <w:color w:val="1F497D"/>
          <w:sz w:val="24"/>
          <w:szCs w:val="24"/>
          <w:rtl/>
          <w:lang w:eastAsia="en-IL"/>
        </w:rPr>
        <w:t>דוברות משרד המשפטים</w:t>
      </w:r>
    </w:p>
    <w:p w14:paraId="307D73B4"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Wingdings" w:eastAsia="Times New Roman" w:hAnsi="Wingdings" w:cs="Times New Roman"/>
          <w:color w:val="1F497D"/>
          <w:sz w:val="24"/>
          <w:szCs w:val="24"/>
          <w:lang w:eastAsia="en-IL"/>
        </w:rPr>
        <w:t></w:t>
      </w:r>
      <w:r w:rsidRPr="007007A1">
        <w:rPr>
          <w:rFonts w:ascii="David" w:eastAsia="Times New Roman" w:hAnsi="David" w:cs="David"/>
          <w:color w:val="1F497D"/>
          <w:sz w:val="24"/>
          <w:szCs w:val="24"/>
          <w:rtl/>
          <w:lang w:eastAsia="en-IL"/>
        </w:rPr>
        <w:t xml:space="preserve"> 02-6466379</w:t>
      </w:r>
    </w:p>
    <w:p w14:paraId="57CC8746" w14:textId="77777777" w:rsidR="007007A1" w:rsidRPr="007007A1" w:rsidRDefault="007007A1" w:rsidP="007007A1">
      <w:pPr>
        <w:bidi/>
        <w:spacing w:before="100" w:beforeAutospacing="1" w:after="100" w:afterAutospacing="1" w:line="240" w:lineRule="auto"/>
        <w:rPr>
          <w:rFonts w:ascii="Times New Roman" w:eastAsia="Times New Roman" w:hAnsi="Times New Roman" w:cs="Times New Roman"/>
          <w:sz w:val="24"/>
          <w:szCs w:val="24"/>
          <w:rtl/>
          <w:lang w:eastAsia="en-IL"/>
        </w:rPr>
      </w:pPr>
      <w:r w:rsidRPr="007007A1">
        <w:rPr>
          <w:rFonts w:ascii="Wingdings" w:eastAsia="Times New Roman" w:hAnsi="Wingdings" w:cs="Times New Roman"/>
          <w:color w:val="1F497D"/>
          <w:sz w:val="16"/>
          <w:szCs w:val="16"/>
          <w:lang w:eastAsia="en-IL"/>
        </w:rPr>
        <w:t></w:t>
      </w:r>
      <w:r w:rsidRPr="007007A1">
        <w:rPr>
          <w:rFonts w:ascii="Arial" w:eastAsia="Times New Roman" w:hAnsi="Arial" w:cs="Arial"/>
          <w:b/>
          <w:bCs/>
          <w:color w:val="1F497D"/>
          <w:sz w:val="16"/>
          <w:szCs w:val="16"/>
          <w:rtl/>
          <w:lang w:eastAsia="en-IL"/>
        </w:rPr>
        <w:t xml:space="preserve"> </w:t>
      </w:r>
      <w:hyperlink r:id="rId4" w:tgtFrame="_blank" w:history="1">
        <w:r w:rsidRPr="007007A1">
          <w:rPr>
            <w:rFonts w:ascii="Calibri" w:eastAsia="Times New Roman" w:hAnsi="Calibri" w:cs="Calibri"/>
            <w:b/>
            <w:bCs/>
            <w:color w:val="0000FF"/>
            <w:sz w:val="24"/>
            <w:szCs w:val="24"/>
            <w:u w:val="single"/>
            <w:lang w:val="en-US" w:eastAsia="en-IL"/>
          </w:rPr>
          <w:t>dover@justice.gov.il</w:t>
        </w:r>
      </w:hyperlink>
    </w:p>
    <w:p w14:paraId="5C6E5BD3" w14:textId="77777777" w:rsidR="007007A1" w:rsidRDefault="007007A1"/>
    <w:sectPr w:rsidR="00700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A1"/>
    <w:rsid w:val="007007A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E90C"/>
  <w15:chartTrackingRefBased/>
  <w15:docId w15:val="{DC290566-98D9-4418-9962-2BD0C72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0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1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ver@justice.go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zomer</dc:creator>
  <cp:keywords/>
  <dc:description/>
  <cp:lastModifiedBy>gai zomer</cp:lastModifiedBy>
  <cp:revision>1</cp:revision>
  <dcterms:created xsi:type="dcterms:W3CDTF">2019-05-22T08:23:00Z</dcterms:created>
  <dcterms:modified xsi:type="dcterms:W3CDTF">2019-05-22T08:24:00Z</dcterms:modified>
</cp:coreProperties>
</file>