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C0CFF" w14:textId="66320927" w:rsidR="00040ED0" w:rsidRPr="007D213E" w:rsidRDefault="007D213E" w:rsidP="007D213E">
      <w:pPr>
        <w:bidi w:val="0"/>
        <w:spacing w:after="0" w:line="240" w:lineRule="auto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eastAsia"/>
          <w:color w:val="000000"/>
          <w:sz w:val="26"/>
          <w:szCs w:val="26"/>
          <w:highlight w:val="yellow"/>
          <w:rtl/>
        </w:rPr>
        <w:t>‏</w:t>
      </w:r>
      <w:r w:rsidRPr="007D213E">
        <w:rPr>
          <w:rFonts w:cs="David" w:hint="eastAsia"/>
          <w:color w:val="000000"/>
          <w:sz w:val="26"/>
          <w:szCs w:val="26"/>
          <w:rtl/>
        </w:rPr>
        <w:t>י</w:t>
      </w:r>
      <w:r w:rsidRPr="007D213E">
        <w:rPr>
          <w:rFonts w:cs="David"/>
          <w:color w:val="000000"/>
          <w:sz w:val="26"/>
          <w:szCs w:val="26"/>
          <w:rtl/>
        </w:rPr>
        <w:t>"א שבט תשפ"ג</w:t>
      </w:r>
    </w:p>
    <w:p w14:paraId="2896125C" w14:textId="2C88F8A7" w:rsidR="007D213E" w:rsidRDefault="007D213E" w:rsidP="007D213E">
      <w:pPr>
        <w:bidi w:val="0"/>
        <w:spacing w:after="0" w:line="240" w:lineRule="auto"/>
        <w:jc w:val="both"/>
        <w:rPr>
          <w:rFonts w:cs="David"/>
          <w:color w:val="000000"/>
          <w:sz w:val="26"/>
          <w:szCs w:val="26"/>
          <w:rtl/>
        </w:rPr>
      </w:pPr>
      <w:r w:rsidRPr="007D213E">
        <w:rPr>
          <w:rFonts w:cs="David" w:hint="eastAsia"/>
          <w:color w:val="000000"/>
          <w:sz w:val="26"/>
          <w:szCs w:val="26"/>
          <w:rtl/>
        </w:rPr>
        <w:t>‏</w:t>
      </w:r>
      <w:r w:rsidRPr="007D213E">
        <w:rPr>
          <w:rFonts w:cs="David"/>
          <w:color w:val="000000"/>
          <w:sz w:val="26"/>
          <w:szCs w:val="26"/>
          <w:rtl/>
        </w:rPr>
        <w:t>02 פברואר 2023</w:t>
      </w:r>
    </w:p>
    <w:p w14:paraId="1DB7D717" w14:textId="77777777" w:rsidR="007D213E" w:rsidRDefault="007D213E" w:rsidP="003B02FB">
      <w:pPr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rtl/>
        </w:rPr>
      </w:pPr>
    </w:p>
    <w:p w14:paraId="083B7F70" w14:textId="77777777" w:rsidR="003B02FB" w:rsidRPr="00940488" w:rsidRDefault="003B02FB" w:rsidP="003B02FB">
      <w:pPr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rtl/>
        </w:rPr>
      </w:pPr>
      <w:r w:rsidRPr="00940488">
        <w:rPr>
          <w:rFonts w:ascii="Calibri" w:eastAsia="Times New Roman" w:hAnsi="Calibri" w:cs="David" w:hint="cs"/>
          <w:sz w:val="26"/>
          <w:szCs w:val="26"/>
          <w:rtl/>
        </w:rPr>
        <w:t xml:space="preserve">לכבוד </w:t>
      </w:r>
    </w:p>
    <w:p w14:paraId="6D949545" w14:textId="77777777" w:rsidR="003B02FB" w:rsidRPr="00EB2632" w:rsidRDefault="003B02FB" w:rsidP="003B02FB">
      <w:pPr>
        <w:pStyle w:val="ab"/>
        <w:rPr>
          <w:rFonts w:cs="David"/>
          <w:sz w:val="26"/>
          <w:szCs w:val="26"/>
          <w:rtl/>
        </w:rPr>
      </w:pPr>
      <w:r w:rsidRPr="00EB2632">
        <w:rPr>
          <w:rFonts w:cs="David"/>
          <w:sz w:val="26"/>
          <w:szCs w:val="26"/>
          <w:rtl/>
        </w:rPr>
        <w:t xml:space="preserve">עו"ד </w:t>
      </w:r>
      <w:r>
        <w:rPr>
          <w:rFonts w:cs="David" w:hint="cs"/>
          <w:sz w:val="26"/>
          <w:szCs w:val="26"/>
          <w:rtl/>
        </w:rPr>
        <w:t>אלעד מן</w:t>
      </w:r>
    </w:p>
    <w:p w14:paraId="782F70FF" w14:textId="77777777" w:rsidR="003B02FB" w:rsidRPr="00940488" w:rsidRDefault="003B02FB" w:rsidP="003B02FB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</w:pP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יועץ משפטי </w:t>
      </w:r>
      <w:r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תנועת "הצלחה"</w:t>
      </w:r>
    </w:p>
    <w:p w14:paraId="4F0EED6F" w14:textId="77777777" w:rsidR="003B02FB" w:rsidRDefault="003B02FB" w:rsidP="003B02FB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rtl/>
        </w:rPr>
      </w:pPr>
    </w:p>
    <w:p w14:paraId="0AB78C7A" w14:textId="77777777" w:rsidR="003B02FB" w:rsidRDefault="003B02FB" w:rsidP="003B02FB">
      <w:pPr>
        <w:bidi w:val="0"/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u w:val="single"/>
          <w:rtl/>
        </w:rPr>
      </w:pPr>
    </w:p>
    <w:p w14:paraId="3E94CCEF" w14:textId="77777777" w:rsidR="00786C8F" w:rsidRPr="00786C8F" w:rsidRDefault="00786C8F" w:rsidP="00786C8F">
      <w:pPr>
        <w:bidi w:val="0"/>
        <w:spacing w:after="0" w:line="240" w:lineRule="auto"/>
        <w:jc w:val="right"/>
        <w:rPr>
          <w:rFonts w:ascii="Calibri" w:eastAsia="Times New Roman" w:hAnsi="Calibri" w:cs="David"/>
          <w:sz w:val="26"/>
          <w:szCs w:val="26"/>
          <w:rtl/>
        </w:rPr>
      </w:pPr>
      <w:r w:rsidRPr="00786C8F">
        <w:rPr>
          <w:rFonts w:ascii="Calibri" w:eastAsia="Times New Roman" w:hAnsi="Calibri" w:cs="David" w:hint="cs"/>
          <w:sz w:val="26"/>
          <w:szCs w:val="26"/>
          <w:rtl/>
        </w:rPr>
        <w:t>שלום רב,</w:t>
      </w:r>
    </w:p>
    <w:p w14:paraId="6D86B188" w14:textId="77777777" w:rsidR="00786C8F" w:rsidRDefault="00786C8F" w:rsidP="00786C8F">
      <w:pPr>
        <w:bidi w:val="0"/>
        <w:spacing w:after="0" w:line="240" w:lineRule="auto"/>
        <w:jc w:val="right"/>
        <w:rPr>
          <w:rFonts w:ascii="Calibri" w:eastAsia="Times New Roman" w:hAnsi="Calibri" w:cs="David"/>
          <w:sz w:val="26"/>
          <w:szCs w:val="26"/>
          <w:u w:val="single"/>
          <w:rtl/>
        </w:rPr>
      </w:pPr>
    </w:p>
    <w:p w14:paraId="63559DE6" w14:textId="77777777" w:rsidR="00786C8F" w:rsidRDefault="00786C8F" w:rsidP="00786C8F">
      <w:pPr>
        <w:bidi w:val="0"/>
        <w:spacing w:after="0" w:line="240" w:lineRule="auto"/>
        <w:jc w:val="right"/>
        <w:rPr>
          <w:rFonts w:ascii="Calibri" w:eastAsia="Times New Roman" w:hAnsi="Calibri" w:cs="David"/>
          <w:sz w:val="26"/>
          <w:szCs w:val="26"/>
          <w:u w:val="single"/>
          <w:rtl/>
        </w:rPr>
      </w:pPr>
    </w:p>
    <w:p w14:paraId="6697652E" w14:textId="77777777" w:rsidR="003B02FB" w:rsidRDefault="003B02FB" w:rsidP="003B02FB">
      <w:pPr>
        <w:spacing w:after="0" w:line="240" w:lineRule="auto"/>
        <w:jc w:val="center"/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</w:pPr>
      <w:r w:rsidRPr="00940488"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>הנדון: בקשה לקבלת מידע מכוח חוק חופש המידע, תשנ"ח 1998</w:t>
      </w:r>
      <w:r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91193BD" w14:textId="77777777" w:rsidR="003B02FB" w:rsidRDefault="00186BC4" w:rsidP="00186BC4">
      <w:pPr>
        <w:pStyle w:val="ab"/>
        <w:jc w:val="center"/>
        <w:rPr>
          <w:rFonts w:eastAsia="Times New Roman" w:cs="David"/>
          <w:sz w:val="26"/>
          <w:szCs w:val="26"/>
          <w:u w:val="single"/>
        </w:rPr>
      </w:pPr>
      <w:r w:rsidRPr="00186BC4">
        <w:rPr>
          <w:rFonts w:eastAsia="Times New Roman" w:cs="David"/>
          <w:sz w:val="26"/>
          <w:szCs w:val="26"/>
          <w:u w:val="single"/>
          <w:rtl/>
        </w:rPr>
        <w:t>בקשת חופש מידע - דוחות ביקורת פנים</w:t>
      </w:r>
    </w:p>
    <w:p w14:paraId="125DA76F" w14:textId="77777777" w:rsidR="003B02FB" w:rsidRPr="00023E4C" w:rsidRDefault="003B02FB" w:rsidP="00786C8F">
      <w:pPr>
        <w:spacing w:before="360" w:line="360" w:lineRule="auto"/>
        <w:jc w:val="both"/>
        <w:rPr>
          <w:rFonts w:ascii="Arial" w:hAnsi="Arial" w:cs="David"/>
          <w:sz w:val="26"/>
          <w:szCs w:val="26"/>
          <w:rtl/>
        </w:rPr>
      </w:pPr>
      <w:r w:rsidRPr="00023E4C">
        <w:rPr>
          <w:rFonts w:ascii="Arial" w:hAnsi="Arial" w:cs="David" w:hint="cs"/>
          <w:sz w:val="26"/>
          <w:szCs w:val="26"/>
          <w:rtl/>
        </w:rPr>
        <w:t xml:space="preserve">ראשית, </w:t>
      </w:r>
      <w:r>
        <w:rPr>
          <w:rFonts w:ascii="Arial" w:hAnsi="Arial" w:cs="David" w:hint="cs"/>
          <w:sz w:val="26"/>
          <w:szCs w:val="26"/>
          <w:rtl/>
        </w:rPr>
        <w:t xml:space="preserve">אני מודה </w:t>
      </w:r>
      <w:r w:rsidRPr="00023E4C">
        <w:rPr>
          <w:rFonts w:ascii="Arial" w:hAnsi="Arial" w:cs="David" w:hint="cs"/>
          <w:sz w:val="26"/>
          <w:szCs w:val="26"/>
          <w:rtl/>
        </w:rPr>
        <w:t>על פנייתך</w:t>
      </w:r>
      <w:r>
        <w:rPr>
          <w:rFonts w:ascii="Arial" w:hAnsi="Arial" w:cs="David" w:hint="cs"/>
          <w:sz w:val="26"/>
          <w:szCs w:val="26"/>
          <w:rtl/>
        </w:rPr>
        <w:t xml:space="preserve"> אלינו</w:t>
      </w:r>
      <w:r w:rsidRPr="00023E4C">
        <w:rPr>
          <w:rFonts w:ascii="Arial" w:hAnsi="Arial" w:cs="David" w:hint="cs"/>
          <w:sz w:val="26"/>
          <w:szCs w:val="26"/>
          <w:rtl/>
        </w:rPr>
        <w:t>.</w:t>
      </w:r>
    </w:p>
    <w:p w14:paraId="2DED04C6" w14:textId="77777777" w:rsidR="00186BC4" w:rsidRPr="00186BC4" w:rsidRDefault="003B02FB" w:rsidP="00BF200E">
      <w:pPr>
        <w:spacing w:before="240" w:line="360" w:lineRule="auto"/>
        <w:jc w:val="both"/>
        <w:rPr>
          <w:rFonts w:ascii="Arial" w:hAnsi="Arial" w:cs="David"/>
          <w:sz w:val="26"/>
          <w:szCs w:val="26"/>
        </w:rPr>
      </w:pPr>
      <w:r w:rsidRPr="00023E4C">
        <w:rPr>
          <w:rFonts w:ascii="Arial" w:hAnsi="Arial" w:cs="David" w:hint="cs"/>
          <w:sz w:val="26"/>
          <w:szCs w:val="26"/>
          <w:rtl/>
        </w:rPr>
        <w:t>בבקשת המידע שהעברת אלינו, ביקשת לקבל</w:t>
      </w:r>
      <w:r w:rsidR="00186BC4">
        <w:rPr>
          <w:rFonts w:ascii="Arial" w:hAnsi="Arial" w:cs="David" w:hint="cs"/>
          <w:sz w:val="26"/>
          <w:szCs w:val="26"/>
          <w:rtl/>
        </w:rPr>
        <w:t xml:space="preserve"> </w:t>
      </w:r>
      <w:r w:rsidR="00186BC4" w:rsidRPr="00186BC4">
        <w:rPr>
          <w:rFonts w:ascii="Arial" w:hAnsi="Arial" w:cs="David"/>
          <w:sz w:val="26"/>
          <w:szCs w:val="26"/>
          <w:rtl/>
        </w:rPr>
        <w:t xml:space="preserve">פירוט דוחות ביקורת הפנים שנערכו במשרד לשנים 2019, 2020 ו 2021 (לרבות פירוט תאריך עריכת הדוח, נושא הדוח, </w:t>
      </w:r>
      <w:r w:rsidR="00BF200E">
        <w:rPr>
          <w:rFonts w:ascii="Arial" w:hAnsi="Arial" w:cs="David" w:hint="cs"/>
          <w:sz w:val="26"/>
          <w:szCs w:val="26"/>
          <w:rtl/>
        </w:rPr>
        <w:t xml:space="preserve">עורכי הביקורת </w:t>
      </w:r>
      <w:r w:rsidR="00186BC4" w:rsidRPr="00186BC4">
        <w:rPr>
          <w:rFonts w:ascii="Arial" w:hAnsi="Arial" w:cs="David"/>
          <w:sz w:val="26"/>
          <w:szCs w:val="26"/>
          <w:rtl/>
        </w:rPr>
        <w:t xml:space="preserve">ומספר העמודים בדוח). </w:t>
      </w:r>
    </w:p>
    <w:p w14:paraId="78DCE349" w14:textId="77777777" w:rsidR="00BF200E" w:rsidRDefault="00BF200E" w:rsidP="001E4D83">
      <w:pPr>
        <w:spacing w:before="240" w:after="0" w:line="360" w:lineRule="auto"/>
        <w:jc w:val="both"/>
        <w:rPr>
          <w:rFonts w:ascii="David" w:hAnsi="David" w:cs="David"/>
          <w:color w:val="000000"/>
          <w:sz w:val="26"/>
          <w:szCs w:val="26"/>
          <w:rtl/>
        </w:rPr>
      </w:pPr>
      <w:r w:rsidRPr="00203983">
        <w:rPr>
          <w:rFonts w:cs="David"/>
          <w:color w:val="000000"/>
          <w:sz w:val="26"/>
          <w:szCs w:val="26"/>
          <w:rtl/>
        </w:rPr>
        <w:t>לאחר בירור</w:t>
      </w:r>
      <w:r>
        <w:rPr>
          <w:rFonts w:ascii="David" w:hAnsi="David" w:cs="David"/>
          <w:color w:val="000000"/>
          <w:sz w:val="26"/>
          <w:szCs w:val="26"/>
          <w:rtl/>
        </w:rPr>
        <w:t xml:space="preserve"> הבקשה שבנדון אל מול ה</w:t>
      </w:r>
      <w:r>
        <w:rPr>
          <w:rFonts w:ascii="David" w:hAnsi="David" w:cs="David" w:hint="cs"/>
          <w:color w:val="000000"/>
          <w:sz w:val="26"/>
          <w:szCs w:val="26"/>
          <w:rtl/>
        </w:rPr>
        <w:t xml:space="preserve">יחידה </w:t>
      </w:r>
      <w:r>
        <w:rPr>
          <w:rFonts w:ascii="David" w:hAnsi="David" w:cs="David"/>
          <w:color w:val="000000"/>
          <w:sz w:val="26"/>
          <w:szCs w:val="26"/>
          <w:rtl/>
        </w:rPr>
        <w:t>המקצועי</w:t>
      </w:r>
      <w:r>
        <w:rPr>
          <w:rFonts w:ascii="David" w:hAnsi="David" w:cs="David" w:hint="cs"/>
          <w:color w:val="000000"/>
          <w:sz w:val="26"/>
          <w:szCs w:val="26"/>
          <w:rtl/>
        </w:rPr>
        <w:t>ת</w:t>
      </w:r>
      <w:r>
        <w:rPr>
          <w:rFonts w:ascii="David" w:hAnsi="David" w:cs="David"/>
          <w:color w:val="000000"/>
          <w:sz w:val="26"/>
          <w:szCs w:val="26"/>
          <w:rtl/>
        </w:rPr>
        <w:t xml:space="preserve"> הרלוונטי</w:t>
      </w:r>
      <w:r>
        <w:rPr>
          <w:rFonts w:ascii="David" w:hAnsi="David" w:cs="David" w:hint="cs"/>
          <w:color w:val="000000"/>
          <w:sz w:val="26"/>
          <w:szCs w:val="26"/>
          <w:rtl/>
        </w:rPr>
        <w:t>ת, קרי</w:t>
      </w:r>
      <w:r>
        <w:rPr>
          <w:rFonts w:ascii="David" w:hAnsi="David" w:cs="David"/>
          <w:color w:val="000000"/>
          <w:sz w:val="26"/>
          <w:szCs w:val="26"/>
          <w:rtl/>
        </w:rPr>
        <w:t xml:space="preserve"> </w:t>
      </w:r>
      <w:r w:rsidR="001E4D83">
        <w:rPr>
          <w:rFonts w:ascii="David" w:hAnsi="David" w:cs="David" w:hint="cs"/>
          <w:color w:val="000000"/>
          <w:sz w:val="26"/>
          <w:szCs w:val="26"/>
          <w:rtl/>
        </w:rPr>
        <w:t xml:space="preserve">אגף הביקורת הפנימית, נמסר לך </w:t>
      </w:r>
      <w:r>
        <w:rPr>
          <w:rFonts w:ascii="David" w:hAnsi="David" w:cs="David" w:hint="cs"/>
          <w:color w:val="000000"/>
          <w:sz w:val="26"/>
          <w:szCs w:val="26"/>
          <w:rtl/>
        </w:rPr>
        <w:t xml:space="preserve">המידע המבוקש </w:t>
      </w:r>
      <w:r>
        <w:rPr>
          <w:rFonts w:ascii="David" w:hAnsi="David" w:cs="David"/>
          <w:color w:val="000000"/>
          <w:sz w:val="26"/>
          <w:szCs w:val="26"/>
          <w:rtl/>
        </w:rPr>
        <w:t>–</w:t>
      </w:r>
      <w:r>
        <w:rPr>
          <w:rFonts w:ascii="David" w:hAnsi="David" w:cs="David" w:hint="cs"/>
          <w:color w:val="000000"/>
          <w:sz w:val="26"/>
          <w:szCs w:val="26"/>
          <w:rtl/>
        </w:rPr>
        <w:t xml:space="preserve"> אשר רוכז ואוגם בקובץ אקסל, זאת על מנת להיענות לבקשתך, לקבלו בתצורה ברת חיפוש.</w:t>
      </w:r>
    </w:p>
    <w:p w14:paraId="4D087309" w14:textId="77777777" w:rsidR="008A36B2" w:rsidRDefault="008A36B2" w:rsidP="001E4D83">
      <w:pPr>
        <w:spacing w:before="240" w:after="0" w:line="360" w:lineRule="auto"/>
        <w:jc w:val="both"/>
        <w:rPr>
          <w:rFonts w:ascii="David" w:hAnsi="David" w:cs="David"/>
          <w:color w:val="000000"/>
          <w:sz w:val="26"/>
          <w:szCs w:val="26"/>
          <w:rtl/>
        </w:rPr>
      </w:pPr>
      <w:r>
        <w:rPr>
          <w:rFonts w:ascii="David" w:hAnsi="David" w:cs="David" w:hint="cs"/>
          <w:color w:val="000000"/>
          <w:sz w:val="26"/>
          <w:szCs w:val="26"/>
          <w:rtl/>
        </w:rPr>
        <w:t>לאחר קבלת המידע</w:t>
      </w:r>
      <w:r w:rsidR="00CC5F24">
        <w:rPr>
          <w:rFonts w:ascii="David" w:hAnsi="David" w:cs="David" w:hint="cs"/>
          <w:color w:val="000000"/>
          <w:sz w:val="26"/>
          <w:szCs w:val="26"/>
          <w:rtl/>
        </w:rPr>
        <w:t>, שבת ופנית למשרדנו בבקשה לקבל את דוחות הביקורת הבאים:</w:t>
      </w:r>
    </w:p>
    <w:p w14:paraId="58320280" w14:textId="77777777" w:rsidR="008A36B2" w:rsidRPr="00370896" w:rsidRDefault="008A36B2" w:rsidP="00370896">
      <w:pPr>
        <w:numPr>
          <w:ilvl w:val="0"/>
          <w:numId w:val="42"/>
        </w:numPr>
        <w:spacing w:before="120" w:after="120" w:line="360" w:lineRule="auto"/>
        <w:ind w:left="714" w:hanging="357"/>
        <w:jc w:val="both"/>
        <w:rPr>
          <w:rFonts w:cs="David"/>
          <w:b/>
          <w:bCs/>
          <w:color w:val="000000"/>
          <w:sz w:val="26"/>
          <w:szCs w:val="26"/>
          <w:rtl/>
        </w:rPr>
      </w:pPr>
      <w:r w:rsidRPr="00370896">
        <w:rPr>
          <w:rFonts w:cs="David"/>
          <w:b/>
          <w:bCs/>
          <w:color w:val="000000"/>
          <w:sz w:val="26"/>
          <w:szCs w:val="26"/>
          <w:rtl/>
        </w:rPr>
        <w:t>מינהל חירום</w:t>
      </w:r>
      <w:r w:rsidR="00D64724">
        <w:rPr>
          <w:rFonts w:cs="David" w:hint="cs"/>
          <w:b/>
          <w:bCs/>
          <w:color w:val="000000"/>
          <w:sz w:val="26"/>
          <w:szCs w:val="26"/>
          <w:rtl/>
        </w:rPr>
        <w:t xml:space="preserve"> - נ</w:t>
      </w:r>
      <w:r w:rsidRPr="00370896">
        <w:rPr>
          <w:rFonts w:cs="David"/>
          <w:b/>
          <w:bCs/>
          <w:color w:val="000000"/>
          <w:sz w:val="26"/>
          <w:szCs w:val="26"/>
          <w:rtl/>
        </w:rPr>
        <w:t>יהול החזקת מלאי מזון לשעת חירום</w:t>
      </w:r>
    </w:p>
    <w:p w14:paraId="1196C75D" w14:textId="77777777" w:rsidR="008A36B2" w:rsidRPr="00370896" w:rsidRDefault="008A36B2" w:rsidP="00370896">
      <w:pPr>
        <w:numPr>
          <w:ilvl w:val="0"/>
          <w:numId w:val="42"/>
        </w:numPr>
        <w:spacing w:before="120" w:after="120" w:line="360" w:lineRule="auto"/>
        <w:ind w:left="714" w:hanging="357"/>
        <w:jc w:val="both"/>
        <w:rPr>
          <w:rFonts w:cs="David"/>
          <w:b/>
          <w:bCs/>
          <w:color w:val="000000"/>
          <w:sz w:val="26"/>
          <w:szCs w:val="26"/>
          <w:rtl/>
        </w:rPr>
      </w:pPr>
      <w:r w:rsidRPr="00370896">
        <w:rPr>
          <w:rFonts w:cs="David"/>
          <w:b/>
          <w:bCs/>
          <w:color w:val="000000"/>
          <w:sz w:val="26"/>
          <w:szCs w:val="26"/>
          <w:rtl/>
        </w:rPr>
        <w:t xml:space="preserve">פעילות היחידה לקידום השקעות זרות </w:t>
      </w:r>
      <w:r w:rsidRPr="00370896">
        <w:rPr>
          <w:rFonts w:cs="David"/>
          <w:b/>
          <w:bCs/>
          <w:color w:val="000000"/>
          <w:sz w:val="26"/>
          <w:szCs w:val="26"/>
        </w:rPr>
        <w:t>invest in Israel</w:t>
      </w:r>
    </w:p>
    <w:p w14:paraId="606AEC9C" w14:textId="77777777" w:rsidR="008A36B2" w:rsidRPr="00370896" w:rsidRDefault="008A36B2" w:rsidP="00370896">
      <w:pPr>
        <w:numPr>
          <w:ilvl w:val="0"/>
          <w:numId w:val="42"/>
        </w:numPr>
        <w:spacing w:before="120" w:after="120" w:line="360" w:lineRule="auto"/>
        <w:ind w:left="714" w:hanging="357"/>
        <w:jc w:val="both"/>
        <w:rPr>
          <w:rFonts w:cs="David"/>
          <w:b/>
          <w:bCs/>
          <w:color w:val="000000"/>
          <w:sz w:val="26"/>
          <w:szCs w:val="26"/>
        </w:rPr>
      </w:pPr>
      <w:r w:rsidRPr="00370896">
        <w:rPr>
          <w:rFonts w:cs="David"/>
          <w:b/>
          <w:bCs/>
          <w:color w:val="000000"/>
          <w:sz w:val="26"/>
          <w:szCs w:val="26"/>
          <w:rtl/>
        </w:rPr>
        <w:t>טיפול בבקשות לקבלת פטור לפי סעיף 2(ג)(2) לצו יבוא חופשי</w:t>
      </w:r>
    </w:p>
    <w:p w14:paraId="010414DC" w14:textId="77777777" w:rsidR="008A36B2" w:rsidRPr="00370896" w:rsidRDefault="008A36B2" w:rsidP="00370896">
      <w:pPr>
        <w:numPr>
          <w:ilvl w:val="0"/>
          <w:numId w:val="42"/>
        </w:numPr>
        <w:spacing w:before="120" w:after="120" w:line="360" w:lineRule="auto"/>
        <w:ind w:left="714" w:hanging="357"/>
        <w:jc w:val="both"/>
        <w:rPr>
          <w:rFonts w:cs="David"/>
          <w:b/>
          <w:bCs/>
          <w:color w:val="000000"/>
          <w:sz w:val="26"/>
          <w:szCs w:val="26"/>
          <w:rtl/>
        </w:rPr>
      </w:pPr>
      <w:r w:rsidRPr="00370896">
        <w:rPr>
          <w:rFonts w:cs="David"/>
          <w:b/>
          <w:bCs/>
          <w:color w:val="000000"/>
          <w:sz w:val="26"/>
          <w:szCs w:val="26"/>
          <w:rtl/>
        </w:rPr>
        <w:t>ביצוע פיקוח ואכיפה במסחר על ידי מינהל אכיפה ומדידה</w:t>
      </w:r>
    </w:p>
    <w:p w14:paraId="14A0FCE3" w14:textId="77777777" w:rsidR="008A36B2" w:rsidRPr="00370896" w:rsidRDefault="008A36B2" w:rsidP="00370896">
      <w:pPr>
        <w:numPr>
          <w:ilvl w:val="0"/>
          <w:numId w:val="42"/>
        </w:numPr>
        <w:spacing w:before="120" w:after="120" w:line="360" w:lineRule="auto"/>
        <w:ind w:left="714" w:hanging="357"/>
        <w:jc w:val="both"/>
        <w:rPr>
          <w:rFonts w:cs="David"/>
          <w:b/>
          <w:bCs/>
          <w:color w:val="000000"/>
          <w:sz w:val="26"/>
          <w:szCs w:val="26"/>
        </w:rPr>
      </w:pPr>
      <w:r w:rsidRPr="00370896">
        <w:rPr>
          <w:rFonts w:cs="David"/>
          <w:b/>
          <w:bCs/>
          <w:color w:val="000000"/>
          <w:sz w:val="26"/>
          <w:szCs w:val="26"/>
          <w:rtl/>
        </w:rPr>
        <w:t>מסלול מענקים ברשות להשקעות ולפיתוח התעשייה והכלכלה</w:t>
      </w:r>
    </w:p>
    <w:p w14:paraId="7F125672" w14:textId="77777777" w:rsidR="00B16A84" w:rsidRPr="00C4782E" w:rsidRDefault="00B16A84" w:rsidP="00C4782E">
      <w:pPr>
        <w:spacing w:before="240" w:line="360" w:lineRule="auto"/>
        <w:jc w:val="both"/>
        <w:rPr>
          <w:rFonts w:cs="David"/>
          <w:sz w:val="26"/>
          <w:szCs w:val="26"/>
          <w:rtl/>
        </w:rPr>
      </w:pPr>
      <w:r w:rsidRPr="00C4782E">
        <w:rPr>
          <w:rFonts w:cs="David" w:hint="eastAsia"/>
          <w:sz w:val="26"/>
          <w:szCs w:val="26"/>
          <w:rtl/>
        </w:rPr>
        <w:t>בראשית</w:t>
      </w:r>
      <w:r w:rsidRPr="00C4782E">
        <w:rPr>
          <w:rFonts w:cs="David"/>
          <w:sz w:val="26"/>
          <w:szCs w:val="26"/>
          <w:rtl/>
        </w:rPr>
        <w:t xml:space="preserve"> </w:t>
      </w:r>
      <w:r w:rsidRPr="00C4782E">
        <w:rPr>
          <w:rFonts w:cs="David" w:hint="eastAsia"/>
          <w:sz w:val="26"/>
          <w:szCs w:val="26"/>
          <w:rtl/>
        </w:rPr>
        <w:t>הדברים</w:t>
      </w:r>
      <w:r w:rsidRPr="00C4782E">
        <w:rPr>
          <w:rFonts w:cs="David"/>
          <w:sz w:val="26"/>
          <w:szCs w:val="26"/>
          <w:rtl/>
        </w:rPr>
        <w:t xml:space="preserve"> ידגיש המשרד כי מתבצע מעקב סדור אחר תיקון ליקויים שעלו בדוחות הביקורת הפנימיים ומרבית מהמלצות הביקורת הפנימית שאומצו על ידי מנכ"ל המשרד - תוקנו או שמצויים בתהליכי תיקון</w:t>
      </w:r>
      <w:r w:rsidR="00C4782E" w:rsidRPr="00C4782E">
        <w:rPr>
          <w:rFonts w:cs="David" w:hint="cs"/>
          <w:sz w:val="26"/>
          <w:szCs w:val="26"/>
          <w:rtl/>
        </w:rPr>
        <w:t>.</w:t>
      </w:r>
    </w:p>
    <w:p w14:paraId="7D8B51C7" w14:textId="77777777" w:rsidR="00CC5F24" w:rsidRDefault="00CC5F24" w:rsidP="00AB429A">
      <w:pPr>
        <w:spacing w:before="24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במענה לבקשתך ולאחר בדיקה אל מול היחידות המקצועיות הרלוונטיות אשר בעניינן </w:t>
      </w:r>
      <w:r w:rsidR="00AB429A">
        <w:rPr>
          <w:rFonts w:cs="David" w:hint="cs"/>
          <w:sz w:val="26"/>
          <w:szCs w:val="26"/>
          <w:rtl/>
        </w:rPr>
        <w:t>הוכנו</w:t>
      </w:r>
      <w:r>
        <w:rPr>
          <w:rFonts w:cs="David" w:hint="cs"/>
          <w:sz w:val="26"/>
          <w:szCs w:val="26"/>
          <w:rtl/>
        </w:rPr>
        <w:t xml:space="preserve"> הדוחות, לרבות קבלת התייחסותו של האגף לביקורת הפנים, כמו גם בהתאם להנחיות הלשכה המשפטית במשרדנו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הכלכלה והתעשייה, אבקש להשיבך בדברים, כדלקמן:</w:t>
      </w:r>
    </w:p>
    <w:p w14:paraId="64CD3959" w14:textId="77777777" w:rsidR="00D64724" w:rsidRDefault="00D64724" w:rsidP="00D64724">
      <w:pPr>
        <w:spacing w:before="24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lastRenderedPageBreak/>
        <w:t>ראשית ולאחר בחינה מעמיקה של המידע המצוי ב</w:t>
      </w:r>
      <w:r w:rsidR="00C5105E">
        <w:rPr>
          <w:rFonts w:cs="David" w:hint="cs"/>
          <w:sz w:val="26"/>
          <w:szCs w:val="26"/>
          <w:rtl/>
        </w:rPr>
        <w:t>דוח</w:t>
      </w:r>
      <w:r>
        <w:rPr>
          <w:rFonts w:cs="David" w:hint="cs"/>
          <w:sz w:val="26"/>
          <w:szCs w:val="26"/>
          <w:rtl/>
        </w:rPr>
        <w:t xml:space="preserve">ות, הן </w:t>
      </w:r>
      <w:r w:rsidR="00C5105E">
        <w:rPr>
          <w:rFonts w:cs="David" w:hint="cs"/>
          <w:sz w:val="26"/>
          <w:szCs w:val="26"/>
          <w:rtl/>
        </w:rPr>
        <w:t xml:space="preserve">מול </w:t>
      </w:r>
      <w:r>
        <w:rPr>
          <w:rFonts w:cs="David" w:hint="cs"/>
          <w:sz w:val="26"/>
          <w:szCs w:val="26"/>
          <w:rtl/>
        </w:rPr>
        <w:t xml:space="preserve">מבקרת הפנים של המשרד והן מול היחידות המקצועיות הרלוונטיות, כמו גם הצוותים המשפטיים המנחים את עבודתם, לרבות הדסק המשפטי המלווה את תחום חופש המידע, הוחלט להעביר לעיונך את תמציות </w:t>
      </w:r>
      <w:r w:rsidR="00C5105E">
        <w:rPr>
          <w:rFonts w:cs="David" w:hint="cs"/>
          <w:sz w:val="26"/>
          <w:szCs w:val="26"/>
          <w:rtl/>
        </w:rPr>
        <w:t>דוח</w:t>
      </w:r>
      <w:r>
        <w:rPr>
          <w:rFonts w:cs="David" w:hint="cs"/>
          <w:sz w:val="26"/>
          <w:szCs w:val="26"/>
          <w:rtl/>
        </w:rPr>
        <w:t>ות הביקורת, תוך השמטת / השחרת מידע אשר חוסה תחת סייגי חוק חופש המידע (להלן: "החוק")</w:t>
      </w:r>
      <w:r w:rsidR="009E15B3">
        <w:rPr>
          <w:rFonts w:cs="David" w:hint="cs"/>
          <w:sz w:val="26"/>
          <w:szCs w:val="26"/>
          <w:rtl/>
        </w:rPr>
        <w:t>, בהלימה לסע' 11 לחוק</w:t>
      </w:r>
      <w:r>
        <w:rPr>
          <w:rFonts w:cs="David" w:hint="cs"/>
          <w:sz w:val="26"/>
          <w:szCs w:val="26"/>
          <w:rtl/>
        </w:rPr>
        <w:t xml:space="preserve"> והכל כפי שיפורט בהמשך, לכל תמצית בנפרד</w:t>
      </w:r>
      <w:r w:rsidR="005C0D06">
        <w:rPr>
          <w:rFonts w:cs="David" w:hint="cs"/>
          <w:sz w:val="26"/>
          <w:szCs w:val="26"/>
          <w:rtl/>
        </w:rPr>
        <w:t xml:space="preserve">, למעט </w:t>
      </w:r>
      <w:r w:rsidR="00C5105E">
        <w:rPr>
          <w:rFonts w:cs="David" w:hint="cs"/>
          <w:sz w:val="26"/>
          <w:szCs w:val="26"/>
          <w:rtl/>
        </w:rPr>
        <w:t xml:space="preserve">לגבי דוח הביקורת הפנימית בנושא  </w:t>
      </w:r>
      <w:r w:rsidR="005C0D06">
        <w:rPr>
          <w:rFonts w:cs="David" w:hint="cs"/>
          <w:sz w:val="26"/>
          <w:szCs w:val="26"/>
          <w:rtl/>
        </w:rPr>
        <w:t xml:space="preserve">פעילות </w:t>
      </w:r>
      <w:r w:rsidR="005C0D06" w:rsidRPr="005C0D06">
        <w:rPr>
          <w:rFonts w:cs="David"/>
          <w:sz w:val="26"/>
          <w:szCs w:val="26"/>
          <w:rtl/>
        </w:rPr>
        <w:t xml:space="preserve">היחידה לקידום השקעות זרות </w:t>
      </w:r>
      <w:r w:rsidR="005C0D06" w:rsidRPr="005C0D06">
        <w:rPr>
          <w:rFonts w:cs="David"/>
          <w:sz w:val="26"/>
          <w:szCs w:val="26"/>
        </w:rPr>
        <w:t>invest in Israel</w:t>
      </w:r>
      <w:r w:rsidR="005C0D06">
        <w:rPr>
          <w:rFonts w:cs="David" w:hint="cs"/>
          <w:sz w:val="26"/>
          <w:szCs w:val="26"/>
          <w:rtl/>
        </w:rPr>
        <w:t>, מהסיבות שיפורטו בהמשך.</w:t>
      </w:r>
    </w:p>
    <w:p w14:paraId="301E077D" w14:textId="77777777" w:rsidR="009E15B3" w:rsidRDefault="009E15B3" w:rsidP="009E15B3">
      <w:pPr>
        <w:spacing w:before="24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מסירת התמציות, עולה בקנה אחד עם האמור ב</w:t>
      </w:r>
      <w:r w:rsidRPr="009E15B3">
        <w:rPr>
          <w:rFonts w:cs="David"/>
          <w:sz w:val="26"/>
          <w:szCs w:val="26"/>
          <w:rtl/>
        </w:rPr>
        <w:t>עע"מ 6013/04 מדינת ישראל, משרד התחבורה נ' חברת החדשות הישראלית בע"מ, פ</w:t>
      </w:r>
      <w:r w:rsidRPr="009E15B3">
        <w:rPr>
          <w:rFonts w:cs="David" w:hint="cs"/>
          <w:sz w:val="26"/>
          <w:szCs w:val="26"/>
          <w:rtl/>
        </w:rPr>
        <w:t>"ד</w:t>
      </w:r>
      <w:r w:rsidRPr="009E15B3">
        <w:rPr>
          <w:rFonts w:cs="David"/>
          <w:sz w:val="26"/>
          <w:szCs w:val="26"/>
          <w:rtl/>
        </w:rPr>
        <w:t xml:space="preserve"> ס(4) 60; פיסקה 31 לפסק-הדין</w:t>
      </w:r>
      <w:r w:rsidRPr="009E15B3">
        <w:rPr>
          <w:rFonts w:cs="David" w:hint="cs"/>
          <w:sz w:val="26"/>
          <w:szCs w:val="26"/>
          <w:rtl/>
        </w:rPr>
        <w:t xml:space="preserve">, לפיו </w:t>
      </w:r>
      <w:r w:rsidRPr="009E15B3">
        <w:rPr>
          <w:rFonts w:cs="David"/>
          <w:sz w:val="26"/>
          <w:szCs w:val="26"/>
          <w:rtl/>
        </w:rPr>
        <w:t>ניתן לפרסם תמצית מן הדוח באופן שישרת את זכות הציבור לדעת בלי לפגוע בצורך להבטיח את קיומו התקין של הליך הביקורת הפנימית</w:t>
      </w:r>
      <w:r w:rsidRPr="009E15B3">
        <w:rPr>
          <w:rFonts w:cs="David" w:hint="cs"/>
          <w:sz w:val="26"/>
          <w:szCs w:val="26"/>
          <w:rtl/>
        </w:rPr>
        <w:t>.</w:t>
      </w:r>
    </w:p>
    <w:p w14:paraId="0B121F6E" w14:textId="77777777" w:rsidR="009E15B3" w:rsidRDefault="00D66697" w:rsidP="009E15B3">
      <w:pPr>
        <w:spacing w:before="24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להלן פירוט החלטת המשרד:</w:t>
      </w:r>
    </w:p>
    <w:p w14:paraId="514C6A58" w14:textId="77777777" w:rsidR="00B16A84" w:rsidRDefault="00B16A84" w:rsidP="00B16A84">
      <w:pPr>
        <w:numPr>
          <w:ilvl w:val="0"/>
          <w:numId w:val="45"/>
        </w:numPr>
        <w:spacing w:before="120" w:after="120" w:line="360" w:lineRule="auto"/>
        <w:ind w:left="714" w:hanging="357"/>
        <w:jc w:val="both"/>
        <w:rPr>
          <w:rFonts w:cs="David"/>
          <w:b/>
          <w:bCs/>
          <w:color w:val="000000"/>
          <w:sz w:val="26"/>
          <w:szCs w:val="26"/>
          <w:rtl/>
        </w:rPr>
      </w:pPr>
      <w:r w:rsidRPr="00370896">
        <w:rPr>
          <w:rFonts w:cs="David"/>
          <w:b/>
          <w:bCs/>
          <w:color w:val="000000"/>
          <w:sz w:val="26"/>
          <w:szCs w:val="26"/>
          <w:rtl/>
        </w:rPr>
        <w:t>טיפול בבקשות לקבלת פטור לפי סעיף 2(ג)(2) לצו יבוא חופשי</w:t>
      </w:r>
    </w:p>
    <w:p w14:paraId="7B989253" w14:textId="77777777" w:rsidR="00B16A84" w:rsidRDefault="00B16A84" w:rsidP="007D213E">
      <w:pPr>
        <w:spacing w:before="240" w:after="0" w:line="360" w:lineRule="auto"/>
        <w:ind w:firstLine="714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>מצ"ב תמצית ה</w:t>
      </w:r>
      <w:r w:rsidR="00C5105E">
        <w:rPr>
          <w:rFonts w:cs="David" w:hint="cs"/>
          <w:color w:val="000000"/>
          <w:sz w:val="26"/>
          <w:szCs w:val="26"/>
          <w:rtl/>
        </w:rPr>
        <w:t>דוח</w:t>
      </w:r>
      <w:r>
        <w:rPr>
          <w:rFonts w:cs="David" w:hint="cs"/>
          <w:color w:val="000000"/>
          <w:sz w:val="26"/>
          <w:szCs w:val="26"/>
          <w:rtl/>
        </w:rPr>
        <w:t xml:space="preserve"> אשר הובאה במלואה ללא כל השחרה.</w:t>
      </w:r>
    </w:p>
    <w:p w14:paraId="543121F6" w14:textId="77777777" w:rsidR="00D64724" w:rsidRPr="00370896" w:rsidRDefault="00D64724" w:rsidP="007D213E">
      <w:pPr>
        <w:numPr>
          <w:ilvl w:val="0"/>
          <w:numId w:val="45"/>
        </w:numPr>
        <w:spacing w:before="240" w:after="120" w:line="360" w:lineRule="auto"/>
        <w:ind w:left="714" w:hanging="357"/>
        <w:jc w:val="both"/>
        <w:rPr>
          <w:rFonts w:cs="David"/>
          <w:b/>
          <w:bCs/>
          <w:color w:val="000000"/>
          <w:sz w:val="26"/>
          <w:szCs w:val="26"/>
          <w:rtl/>
        </w:rPr>
      </w:pPr>
      <w:r w:rsidRPr="00370896">
        <w:rPr>
          <w:rFonts w:cs="David"/>
          <w:b/>
          <w:bCs/>
          <w:color w:val="000000"/>
          <w:sz w:val="26"/>
          <w:szCs w:val="26"/>
          <w:rtl/>
        </w:rPr>
        <w:t>מינהל חירום</w:t>
      </w:r>
      <w:r>
        <w:rPr>
          <w:rFonts w:cs="David" w:hint="cs"/>
          <w:b/>
          <w:bCs/>
          <w:color w:val="000000"/>
          <w:sz w:val="26"/>
          <w:szCs w:val="26"/>
          <w:rtl/>
        </w:rPr>
        <w:t xml:space="preserve"> - נ</w:t>
      </w:r>
      <w:r w:rsidRPr="00370896">
        <w:rPr>
          <w:rFonts w:cs="David"/>
          <w:b/>
          <w:bCs/>
          <w:color w:val="000000"/>
          <w:sz w:val="26"/>
          <w:szCs w:val="26"/>
          <w:rtl/>
        </w:rPr>
        <w:t>יהול החזקת מלאי מזון לשעת חירום</w:t>
      </w:r>
    </w:p>
    <w:p w14:paraId="606E56B0" w14:textId="0F7AFFA8" w:rsidR="00EB3A94" w:rsidRDefault="009E15B3" w:rsidP="007D213E">
      <w:pPr>
        <w:spacing w:before="240" w:after="0" w:line="360" w:lineRule="auto"/>
        <w:ind w:left="714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>מצ"ב תמצית ה</w:t>
      </w:r>
      <w:r w:rsidR="00C5105E">
        <w:rPr>
          <w:rFonts w:cs="David" w:hint="cs"/>
          <w:color w:val="000000"/>
          <w:sz w:val="26"/>
          <w:szCs w:val="26"/>
          <w:rtl/>
        </w:rPr>
        <w:t>דוח</w:t>
      </w:r>
      <w:r>
        <w:rPr>
          <w:rFonts w:cs="David" w:hint="cs"/>
          <w:color w:val="000000"/>
          <w:sz w:val="26"/>
          <w:szCs w:val="26"/>
          <w:rtl/>
        </w:rPr>
        <w:t>.</w:t>
      </w:r>
      <w:r w:rsidR="00EB3A94">
        <w:rPr>
          <w:rFonts w:cs="David" w:hint="cs"/>
          <w:color w:val="000000"/>
          <w:sz w:val="26"/>
          <w:szCs w:val="26"/>
          <w:rtl/>
        </w:rPr>
        <w:t xml:space="preserve"> זה המקום להדגיש כי עסקינן ב</w:t>
      </w:r>
      <w:r w:rsidR="00C5105E">
        <w:rPr>
          <w:rFonts w:cs="David" w:hint="cs"/>
          <w:color w:val="000000"/>
          <w:sz w:val="26"/>
          <w:szCs w:val="26"/>
          <w:rtl/>
        </w:rPr>
        <w:t>דוח</w:t>
      </w:r>
      <w:r w:rsidR="00EB3A94">
        <w:rPr>
          <w:rFonts w:cs="David" w:hint="cs"/>
          <w:color w:val="000000"/>
          <w:sz w:val="26"/>
          <w:szCs w:val="26"/>
          <w:rtl/>
        </w:rPr>
        <w:t xml:space="preserve"> אשר מפרט את התנהלות המשרד בכל הנוגע לאחזקת מלאי מזון אשר בעת חירום עתיד לשרת את האוכלוסיי</w:t>
      </w:r>
      <w:r w:rsidR="00EB3A94">
        <w:rPr>
          <w:rFonts w:cs="David" w:hint="eastAsia"/>
          <w:color w:val="000000"/>
          <w:sz w:val="26"/>
          <w:szCs w:val="26"/>
          <w:rtl/>
        </w:rPr>
        <w:t>ה</w:t>
      </w:r>
      <w:r w:rsidR="00EB3A94">
        <w:rPr>
          <w:rFonts w:cs="David" w:hint="cs"/>
          <w:color w:val="000000"/>
          <w:sz w:val="26"/>
          <w:szCs w:val="26"/>
          <w:rtl/>
        </w:rPr>
        <w:t xml:space="preserve"> האזרחית. לאור האמור הרי שהמשרד פרסם חלק מן ה</w:t>
      </w:r>
      <w:r w:rsidR="00C5105E">
        <w:rPr>
          <w:rFonts w:cs="David" w:hint="cs"/>
          <w:color w:val="000000"/>
          <w:sz w:val="26"/>
          <w:szCs w:val="26"/>
          <w:rtl/>
        </w:rPr>
        <w:t>דוח</w:t>
      </w:r>
      <w:r w:rsidR="00EB3A94">
        <w:rPr>
          <w:rFonts w:cs="David" w:hint="cs"/>
          <w:color w:val="000000"/>
          <w:sz w:val="26"/>
          <w:szCs w:val="26"/>
          <w:rtl/>
        </w:rPr>
        <w:t xml:space="preserve"> אך חלק</w:t>
      </w:r>
      <w:r w:rsidR="00263EB7">
        <w:rPr>
          <w:rFonts w:cs="David" w:hint="cs"/>
          <w:color w:val="000000"/>
          <w:sz w:val="26"/>
          <w:szCs w:val="26"/>
          <w:rtl/>
        </w:rPr>
        <w:t>י</w:t>
      </w:r>
      <w:r w:rsidR="00EB3A94">
        <w:rPr>
          <w:rFonts w:cs="David" w:hint="cs"/>
          <w:color w:val="000000"/>
          <w:sz w:val="26"/>
          <w:szCs w:val="26"/>
          <w:rtl/>
        </w:rPr>
        <w:t>ם הוסתרו לאור סעיף 9(א)(1)</w:t>
      </w:r>
      <w:r w:rsidR="00263EB7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EB3A94">
        <w:rPr>
          <w:rFonts w:cs="David" w:hint="cs"/>
          <w:color w:val="000000"/>
          <w:sz w:val="26"/>
          <w:szCs w:val="26"/>
          <w:rtl/>
        </w:rPr>
        <w:t xml:space="preserve">. כמו כן, הוסתרו חלקים אחרים בשל </w:t>
      </w:r>
      <w:r w:rsidR="00841553">
        <w:rPr>
          <w:rFonts w:cs="David" w:hint="cs"/>
          <w:color w:val="000000"/>
          <w:sz w:val="26"/>
          <w:szCs w:val="26"/>
          <w:rtl/>
        </w:rPr>
        <w:t>סעיף 9(א)(3)</w:t>
      </w:r>
      <w:r w:rsidR="001806D4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841553">
        <w:rPr>
          <w:rFonts w:cs="David" w:hint="cs"/>
          <w:color w:val="000000"/>
          <w:sz w:val="26"/>
          <w:szCs w:val="26"/>
          <w:rtl/>
        </w:rPr>
        <w:t>, סעיף 9(א)(4)</w:t>
      </w:r>
      <w:r w:rsidR="001806D4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841553">
        <w:rPr>
          <w:rFonts w:cs="David" w:hint="cs"/>
          <w:color w:val="000000"/>
          <w:sz w:val="26"/>
          <w:szCs w:val="26"/>
          <w:rtl/>
        </w:rPr>
        <w:t>, סעיף 9(ב)(1)</w:t>
      </w:r>
      <w:r w:rsidR="001806D4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841553">
        <w:rPr>
          <w:rFonts w:cs="David" w:hint="cs"/>
          <w:color w:val="000000"/>
          <w:sz w:val="26"/>
          <w:szCs w:val="26"/>
          <w:rtl/>
        </w:rPr>
        <w:t>, סעיף 9(ב)(2)</w:t>
      </w:r>
      <w:r w:rsidR="001806D4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841553">
        <w:rPr>
          <w:rFonts w:cs="David" w:hint="cs"/>
          <w:color w:val="000000"/>
          <w:sz w:val="26"/>
          <w:szCs w:val="26"/>
          <w:rtl/>
        </w:rPr>
        <w:t>, סעיף 9(ב)(4)</w:t>
      </w:r>
      <w:r w:rsidR="001806D4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841553">
        <w:rPr>
          <w:rFonts w:cs="David" w:hint="cs"/>
          <w:color w:val="000000"/>
          <w:sz w:val="26"/>
          <w:szCs w:val="26"/>
          <w:rtl/>
        </w:rPr>
        <w:t>, סעיף 9(ב)(6)</w:t>
      </w:r>
      <w:r w:rsidR="001806D4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841553">
        <w:rPr>
          <w:rFonts w:cs="David" w:hint="cs"/>
          <w:color w:val="000000"/>
          <w:sz w:val="26"/>
          <w:szCs w:val="26"/>
          <w:rtl/>
        </w:rPr>
        <w:t xml:space="preserve">, </w:t>
      </w:r>
      <w:r w:rsidR="009146A3">
        <w:rPr>
          <w:rFonts w:cs="David" w:hint="cs"/>
          <w:color w:val="000000"/>
          <w:sz w:val="26"/>
          <w:szCs w:val="26"/>
          <w:rtl/>
        </w:rPr>
        <w:t>סעיף 9(ב)(7)</w:t>
      </w:r>
      <w:r w:rsidR="001806D4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8E62DF">
        <w:rPr>
          <w:rFonts w:cs="David" w:hint="cs"/>
          <w:color w:val="000000"/>
          <w:sz w:val="26"/>
          <w:szCs w:val="26"/>
          <w:rtl/>
        </w:rPr>
        <w:t xml:space="preserve"> ו</w:t>
      </w:r>
      <w:r w:rsidR="0011508B">
        <w:rPr>
          <w:rFonts w:cs="David" w:hint="cs"/>
          <w:color w:val="000000"/>
          <w:sz w:val="26"/>
          <w:szCs w:val="26"/>
          <w:rtl/>
        </w:rPr>
        <w:t>סעיף 9(ב)(8)</w:t>
      </w:r>
      <w:r w:rsidR="001806D4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11508B">
        <w:rPr>
          <w:rFonts w:cs="David" w:hint="cs"/>
          <w:color w:val="000000"/>
          <w:sz w:val="26"/>
          <w:szCs w:val="26"/>
          <w:rtl/>
        </w:rPr>
        <w:t xml:space="preserve">. </w:t>
      </w:r>
    </w:p>
    <w:p w14:paraId="208CE424" w14:textId="77777777" w:rsidR="00CF2245" w:rsidRDefault="00CF2245" w:rsidP="007D213E">
      <w:pPr>
        <w:numPr>
          <w:ilvl w:val="0"/>
          <w:numId w:val="45"/>
        </w:numPr>
        <w:spacing w:before="240" w:after="120" w:line="360" w:lineRule="auto"/>
        <w:ind w:left="714" w:hanging="357"/>
        <w:jc w:val="both"/>
        <w:rPr>
          <w:rFonts w:cs="David"/>
          <w:b/>
          <w:bCs/>
          <w:color w:val="000000"/>
          <w:sz w:val="26"/>
          <w:szCs w:val="26"/>
        </w:rPr>
      </w:pPr>
      <w:r w:rsidRPr="00370896">
        <w:rPr>
          <w:rFonts w:cs="David"/>
          <w:b/>
          <w:bCs/>
          <w:color w:val="000000"/>
          <w:sz w:val="26"/>
          <w:szCs w:val="26"/>
          <w:rtl/>
        </w:rPr>
        <w:t xml:space="preserve">פעילות היחידה לקידום השקעות זרות </w:t>
      </w:r>
      <w:r w:rsidRPr="00370896">
        <w:rPr>
          <w:rFonts w:cs="David"/>
          <w:b/>
          <w:bCs/>
          <w:color w:val="000000"/>
          <w:sz w:val="26"/>
          <w:szCs w:val="26"/>
        </w:rPr>
        <w:t>invest in Israel</w:t>
      </w:r>
    </w:p>
    <w:p w14:paraId="5818F77E" w14:textId="7E2A02D9" w:rsidR="00CF2245" w:rsidRPr="007D213E" w:rsidRDefault="00CF2245" w:rsidP="007D213E">
      <w:pPr>
        <w:spacing w:before="240" w:after="0" w:line="360" w:lineRule="auto"/>
        <w:ind w:left="714"/>
        <w:jc w:val="both"/>
        <w:rPr>
          <w:rFonts w:cs="David"/>
          <w:color w:val="000000"/>
          <w:sz w:val="26"/>
          <w:szCs w:val="26"/>
          <w:rtl/>
        </w:rPr>
      </w:pPr>
      <w:r w:rsidRPr="007D213E">
        <w:rPr>
          <w:rFonts w:cs="David" w:hint="eastAsia"/>
          <w:color w:val="000000"/>
          <w:sz w:val="26"/>
          <w:szCs w:val="26"/>
          <w:rtl/>
        </w:rPr>
        <w:t>בנוגע</w:t>
      </w:r>
      <w:r w:rsidRPr="007D213E">
        <w:rPr>
          <w:rFonts w:cs="David"/>
          <w:color w:val="000000"/>
          <w:sz w:val="26"/>
          <w:szCs w:val="26"/>
          <w:rtl/>
        </w:rPr>
        <w:t xml:space="preserve"> </w:t>
      </w:r>
      <w:r w:rsidRPr="007D213E">
        <w:rPr>
          <w:rFonts w:cs="David" w:hint="eastAsia"/>
          <w:color w:val="000000"/>
          <w:sz w:val="26"/>
          <w:szCs w:val="26"/>
          <w:rtl/>
        </w:rPr>
        <w:t>ל</w:t>
      </w:r>
      <w:r w:rsidRPr="007D213E">
        <w:rPr>
          <w:rFonts w:cs="David"/>
          <w:color w:val="000000"/>
          <w:sz w:val="26"/>
          <w:szCs w:val="26"/>
          <w:rtl/>
        </w:rPr>
        <w:t>דוח הביקורת הפנימית על פע</w:t>
      </w:r>
      <w:r w:rsidR="007D213E">
        <w:rPr>
          <w:rFonts w:cs="David"/>
          <w:color w:val="000000"/>
          <w:sz w:val="26"/>
          <w:szCs w:val="26"/>
          <w:rtl/>
        </w:rPr>
        <w:t>ילות היחידה לקידום השקעות זרות</w:t>
      </w:r>
      <w:r w:rsidR="007D213E">
        <w:rPr>
          <w:rFonts w:cs="David" w:hint="cs"/>
          <w:color w:val="000000"/>
          <w:sz w:val="26"/>
          <w:szCs w:val="26"/>
          <w:rtl/>
        </w:rPr>
        <w:t xml:space="preserve"> - </w:t>
      </w:r>
      <w:r w:rsidR="005C0D06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7D213E">
        <w:rPr>
          <w:rFonts w:cs="David"/>
          <w:color w:val="000000"/>
          <w:sz w:val="26"/>
          <w:szCs w:val="26"/>
          <w:rtl/>
        </w:rPr>
        <w:tab/>
      </w:r>
      <w:r w:rsidR="005C0D06" w:rsidRPr="007D213E">
        <w:rPr>
          <w:rFonts w:cs="David"/>
          <w:color w:val="000000"/>
          <w:sz w:val="26"/>
          <w:szCs w:val="26"/>
        </w:rPr>
        <w:t>invest in Israel</w:t>
      </w:r>
      <w:r w:rsidRPr="007D213E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</w:t>
      </w:r>
      <w:r w:rsidRPr="007D213E">
        <w:rPr>
          <w:rFonts w:cs="David" w:hint="eastAsia"/>
          <w:color w:val="000000"/>
          <w:sz w:val="26"/>
          <w:szCs w:val="26"/>
          <w:rtl/>
        </w:rPr>
        <w:t>הרי</w:t>
      </w:r>
      <w:r w:rsidRPr="007D213E">
        <w:rPr>
          <w:rFonts w:cs="David"/>
          <w:color w:val="000000"/>
          <w:sz w:val="26"/>
          <w:szCs w:val="26"/>
          <w:rtl/>
        </w:rPr>
        <w:t xml:space="preserve"> </w:t>
      </w:r>
      <w:r w:rsidRPr="007D213E">
        <w:rPr>
          <w:rFonts w:cs="David" w:hint="eastAsia"/>
          <w:color w:val="000000"/>
          <w:sz w:val="26"/>
          <w:szCs w:val="26"/>
          <w:rtl/>
        </w:rPr>
        <w:t>ש</w:t>
      </w:r>
      <w:r w:rsidRPr="007D213E">
        <w:rPr>
          <w:rFonts w:cs="David"/>
          <w:color w:val="000000"/>
          <w:sz w:val="26"/>
          <w:szCs w:val="26"/>
          <w:rtl/>
        </w:rPr>
        <w:t>בעקבות שינוי המבנה הארגוני ו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שילוב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Pr="007D213E">
        <w:rPr>
          <w:rFonts w:cs="David"/>
          <w:color w:val="000000"/>
          <w:sz w:val="26"/>
          <w:szCs w:val="26"/>
          <w:rtl/>
        </w:rPr>
        <w:t xml:space="preserve">העובדים 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ביחידה אחרת 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מוביל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לכך </w:t>
      </w:r>
      <w:r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ש</w:t>
      </w:r>
      <w:r w:rsidRPr="007D213E">
        <w:rPr>
          <w:rFonts w:cs="David"/>
          <w:color w:val="000000"/>
          <w:sz w:val="26"/>
          <w:szCs w:val="26"/>
          <w:rtl/>
        </w:rPr>
        <w:t>מרבית מההמלצות בדוח הביקורת הפכו ללא רלוונטיות.</w:t>
      </w:r>
    </w:p>
    <w:p w14:paraId="6CCD1A4F" w14:textId="77777777" w:rsidR="007D213E" w:rsidRDefault="0044653C" w:rsidP="007D213E">
      <w:pPr>
        <w:spacing w:before="240" w:after="0" w:line="360" w:lineRule="auto"/>
        <w:ind w:left="714"/>
        <w:jc w:val="both"/>
        <w:rPr>
          <w:rFonts w:cs="David"/>
          <w:color w:val="000000"/>
          <w:sz w:val="26"/>
          <w:szCs w:val="26"/>
          <w:rtl/>
        </w:rPr>
      </w:pPr>
      <w:r w:rsidRPr="007D213E">
        <w:rPr>
          <w:rFonts w:cs="David" w:hint="eastAsia"/>
          <w:color w:val="000000"/>
          <w:sz w:val="26"/>
          <w:szCs w:val="26"/>
          <w:rtl/>
        </w:rPr>
        <w:t>יתר</w:t>
      </w:r>
      <w:r w:rsidRPr="007D213E">
        <w:rPr>
          <w:rFonts w:cs="David"/>
          <w:color w:val="000000"/>
          <w:sz w:val="26"/>
          <w:szCs w:val="26"/>
          <w:rtl/>
        </w:rPr>
        <w:t xml:space="preserve"> על כן, </w:t>
      </w:r>
      <w:r w:rsidR="00C5105E" w:rsidRPr="007D213E">
        <w:rPr>
          <w:rFonts w:cs="David" w:hint="eastAsia"/>
          <w:color w:val="000000"/>
          <w:sz w:val="26"/>
          <w:szCs w:val="26"/>
          <w:rtl/>
        </w:rPr>
        <w:t>חלקים</w:t>
      </w:r>
      <w:r w:rsidR="00C5105E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עיקריים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C5105E" w:rsidRPr="007D213E">
        <w:rPr>
          <w:rFonts w:cs="David" w:hint="eastAsia"/>
          <w:color w:val="000000"/>
          <w:sz w:val="26"/>
          <w:szCs w:val="26"/>
          <w:rtl/>
        </w:rPr>
        <w:t>מ</w:t>
      </w:r>
      <w:r w:rsidRPr="007D213E">
        <w:rPr>
          <w:rFonts w:cs="David" w:hint="eastAsia"/>
          <w:color w:val="000000"/>
          <w:sz w:val="26"/>
          <w:szCs w:val="26"/>
          <w:rtl/>
        </w:rPr>
        <w:t>הדוח</w:t>
      </w:r>
      <w:r w:rsidRPr="007D213E">
        <w:rPr>
          <w:rFonts w:cs="David"/>
          <w:color w:val="000000"/>
          <w:sz w:val="26"/>
          <w:szCs w:val="26"/>
          <w:rtl/>
        </w:rPr>
        <w:t xml:space="preserve"> </w:t>
      </w:r>
      <w:r w:rsidRPr="007D213E">
        <w:rPr>
          <w:rFonts w:cs="David" w:hint="eastAsia"/>
          <w:color w:val="000000"/>
          <w:sz w:val="26"/>
          <w:szCs w:val="26"/>
          <w:rtl/>
        </w:rPr>
        <w:t>מתייחס</w:t>
      </w:r>
      <w:r w:rsidR="00C5105E" w:rsidRPr="007D213E">
        <w:rPr>
          <w:rFonts w:cs="David" w:hint="eastAsia"/>
          <w:color w:val="000000"/>
          <w:sz w:val="26"/>
          <w:szCs w:val="26"/>
          <w:rtl/>
        </w:rPr>
        <w:t>ים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לנושאים ארגוניים </w:t>
      </w:r>
      <w:r w:rsidR="007D213E">
        <w:rPr>
          <w:rFonts w:cs="David" w:hint="cs"/>
          <w:color w:val="000000"/>
          <w:sz w:val="26"/>
          <w:szCs w:val="26"/>
          <w:rtl/>
        </w:rPr>
        <w:t>פנימיים וחשיפתם עלולה לפגוע</w:t>
      </w:r>
      <w:r w:rsidR="0054671B" w:rsidRPr="007D213E">
        <w:rPr>
          <w:rFonts w:cs="David"/>
          <w:color w:val="000000"/>
          <w:sz w:val="26"/>
          <w:szCs w:val="26"/>
          <w:rtl/>
        </w:rPr>
        <w:t xml:space="preserve"> בפרטיותם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של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עובדים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שחלקם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אף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אינם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עובדי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המשרד</w:t>
      </w:r>
      <w:r w:rsidR="00AA073E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AA073E" w:rsidRPr="007D213E">
        <w:rPr>
          <w:rFonts w:cs="David" w:hint="eastAsia"/>
          <w:color w:val="000000"/>
          <w:sz w:val="26"/>
          <w:szCs w:val="26"/>
          <w:rtl/>
        </w:rPr>
        <w:t>כיום</w:t>
      </w:r>
      <w:r w:rsidR="0054671B" w:rsidRPr="007D213E">
        <w:rPr>
          <w:rFonts w:cs="David"/>
          <w:color w:val="000000"/>
          <w:sz w:val="26"/>
          <w:szCs w:val="26"/>
          <w:rtl/>
        </w:rPr>
        <w:t xml:space="preserve">. 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לפיכך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54671B" w:rsidRPr="007D213E">
        <w:rPr>
          <w:rFonts w:cs="David" w:hint="eastAsia"/>
          <w:color w:val="000000"/>
          <w:sz w:val="26"/>
          <w:szCs w:val="26"/>
          <w:rtl/>
        </w:rPr>
        <w:t>הדוח</w:t>
      </w:r>
      <w:r w:rsidR="0054671B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לא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נמסר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על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ידי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המשרד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לאור הטעמים האמ</w:t>
      </w:r>
      <w:r w:rsidR="008E62DF" w:rsidRPr="007D213E">
        <w:rPr>
          <w:rFonts w:cs="David" w:hint="eastAsia"/>
          <w:color w:val="000000"/>
          <w:sz w:val="26"/>
          <w:szCs w:val="26"/>
          <w:rtl/>
        </w:rPr>
        <w:t>ו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רים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בסעיף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9(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א</w:t>
      </w:r>
      <w:r w:rsidR="00B16A84" w:rsidRPr="007D213E">
        <w:rPr>
          <w:rFonts w:cs="David"/>
          <w:color w:val="000000"/>
          <w:sz w:val="26"/>
          <w:szCs w:val="26"/>
          <w:rtl/>
        </w:rPr>
        <w:t>)(3)</w:t>
      </w:r>
      <w:r w:rsidR="008E62DF" w:rsidRPr="007D213E">
        <w:rPr>
          <w:rFonts w:cs="David"/>
          <w:color w:val="000000"/>
          <w:sz w:val="26"/>
          <w:szCs w:val="26"/>
          <w:rtl/>
        </w:rPr>
        <w:t xml:space="preserve"> לחוק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, 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סעיף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B16A84" w:rsidRPr="007D213E">
        <w:rPr>
          <w:rFonts w:cs="David"/>
          <w:color w:val="000000"/>
          <w:sz w:val="26"/>
          <w:szCs w:val="26"/>
          <w:rtl/>
        </w:rPr>
        <w:lastRenderedPageBreak/>
        <w:t>9(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ב</w:t>
      </w:r>
      <w:r w:rsidR="00B16A84" w:rsidRPr="007D213E">
        <w:rPr>
          <w:rFonts w:cs="David"/>
          <w:color w:val="000000"/>
          <w:sz w:val="26"/>
          <w:szCs w:val="26"/>
          <w:rtl/>
        </w:rPr>
        <w:t>)(1)</w:t>
      </w:r>
      <w:r w:rsidR="008E62DF" w:rsidRPr="007D213E">
        <w:rPr>
          <w:rFonts w:cs="David"/>
          <w:color w:val="000000"/>
          <w:sz w:val="26"/>
          <w:szCs w:val="26"/>
          <w:rtl/>
        </w:rPr>
        <w:t xml:space="preserve"> לחוק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</w:t>
      </w:r>
      <w:r w:rsidR="008E62DF" w:rsidRPr="007D213E">
        <w:rPr>
          <w:rFonts w:cs="David" w:hint="eastAsia"/>
          <w:color w:val="000000"/>
          <w:sz w:val="26"/>
          <w:szCs w:val="26"/>
          <w:rtl/>
        </w:rPr>
        <w:t>ו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סעיף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9(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ב</w:t>
      </w:r>
      <w:r w:rsidR="00B16A84" w:rsidRPr="007D213E">
        <w:rPr>
          <w:rFonts w:cs="David"/>
          <w:color w:val="000000"/>
          <w:sz w:val="26"/>
          <w:szCs w:val="26"/>
          <w:rtl/>
        </w:rPr>
        <w:t>)(4)</w:t>
      </w:r>
      <w:r w:rsidR="008E62DF" w:rsidRPr="007D213E">
        <w:rPr>
          <w:rFonts w:cs="David"/>
          <w:color w:val="000000"/>
          <w:sz w:val="26"/>
          <w:szCs w:val="26"/>
          <w:rtl/>
        </w:rPr>
        <w:t xml:space="preserve"> לחוק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. 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יחד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עם זאת יובא 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האמור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ברישא של תמצית </w:t>
      </w:r>
      <w:r w:rsidR="00B16A84" w:rsidRPr="007D213E">
        <w:rPr>
          <w:rFonts w:cs="David" w:hint="eastAsia"/>
          <w:color w:val="000000"/>
          <w:sz w:val="26"/>
          <w:szCs w:val="26"/>
          <w:rtl/>
        </w:rPr>
        <w:t>ה</w:t>
      </w:r>
      <w:r w:rsidR="00C5105E" w:rsidRPr="007D213E">
        <w:rPr>
          <w:rFonts w:cs="David" w:hint="eastAsia"/>
          <w:color w:val="000000"/>
          <w:sz w:val="26"/>
          <w:szCs w:val="26"/>
          <w:rtl/>
        </w:rPr>
        <w:t>דוח</w:t>
      </w:r>
      <w:r w:rsidR="00B16A84" w:rsidRPr="007D213E">
        <w:rPr>
          <w:rFonts w:cs="David"/>
          <w:color w:val="000000"/>
          <w:sz w:val="26"/>
          <w:szCs w:val="26"/>
          <w:rtl/>
        </w:rPr>
        <w:t xml:space="preserve"> כדלקמן:</w:t>
      </w:r>
      <w:r w:rsidR="00B16A84">
        <w:rPr>
          <w:rFonts w:cs="David" w:hint="cs"/>
          <w:color w:val="000000"/>
          <w:sz w:val="26"/>
          <w:szCs w:val="26"/>
          <w:rtl/>
        </w:rPr>
        <w:t xml:space="preserve"> </w:t>
      </w:r>
    </w:p>
    <w:p w14:paraId="194FE2A6" w14:textId="77777777" w:rsidR="007D213E" w:rsidRDefault="00B16A84" w:rsidP="007D213E">
      <w:pPr>
        <w:spacing w:before="240" w:after="0" w:line="360" w:lineRule="auto"/>
        <w:ind w:left="720"/>
        <w:jc w:val="both"/>
        <w:rPr>
          <w:rFonts w:cs="David"/>
          <w:i/>
          <w:iCs/>
          <w:sz w:val="24"/>
          <w:szCs w:val="24"/>
          <w:rtl/>
        </w:rPr>
      </w:pPr>
      <w:r>
        <w:rPr>
          <w:rFonts w:cs="David" w:hint="cs"/>
          <w:color w:val="000000"/>
          <w:sz w:val="26"/>
          <w:szCs w:val="26"/>
          <w:rtl/>
        </w:rPr>
        <w:t>"</w:t>
      </w:r>
      <w:r w:rsidRPr="00C4782E">
        <w:rPr>
          <w:rFonts w:cs="David" w:hint="eastAsia"/>
          <w:i/>
          <w:iCs/>
          <w:sz w:val="24"/>
          <w:szCs w:val="24"/>
          <w:rtl/>
        </w:rPr>
        <w:t>במסגרת</w:t>
      </w:r>
      <w:r w:rsidRPr="00C4782E">
        <w:rPr>
          <w:rFonts w:cs="David"/>
          <w:i/>
          <w:iCs/>
          <w:sz w:val="24"/>
          <w:szCs w:val="24"/>
          <w:rtl/>
        </w:rPr>
        <w:t xml:space="preserve"> </w:t>
      </w:r>
      <w:r w:rsidRPr="00C4782E">
        <w:rPr>
          <w:rFonts w:cs="David" w:hint="eastAsia"/>
          <w:i/>
          <w:iCs/>
          <w:sz w:val="24"/>
          <w:szCs w:val="24"/>
          <w:rtl/>
        </w:rPr>
        <w:t>תוכנית</w:t>
      </w:r>
      <w:r w:rsidRPr="00C4782E">
        <w:rPr>
          <w:rFonts w:cs="David"/>
          <w:i/>
          <w:iCs/>
          <w:sz w:val="24"/>
          <w:szCs w:val="24"/>
          <w:rtl/>
        </w:rPr>
        <w:t xml:space="preserve"> העבודה השנתית ערך אגף הביקורת הפנימית במחצית </w:t>
      </w:r>
      <w:r w:rsidRPr="00C4782E">
        <w:rPr>
          <w:rFonts w:cs="David" w:hint="eastAsia"/>
          <w:i/>
          <w:iCs/>
          <w:sz w:val="24"/>
          <w:szCs w:val="24"/>
          <w:rtl/>
        </w:rPr>
        <w:t>השניה</w:t>
      </w:r>
      <w:r w:rsidRPr="00C4782E">
        <w:rPr>
          <w:rFonts w:cs="David"/>
          <w:i/>
          <w:iCs/>
          <w:sz w:val="24"/>
          <w:szCs w:val="24"/>
          <w:rtl/>
        </w:rPr>
        <w:t xml:space="preserve"> של שנת 2019 ביקורת בנושא פעילות היחידה לקידום השקעות זרות – </w:t>
      </w:r>
      <w:r w:rsidRPr="00C4782E">
        <w:rPr>
          <w:rFonts w:cs="David"/>
          <w:i/>
          <w:iCs/>
          <w:sz w:val="24"/>
          <w:szCs w:val="24"/>
        </w:rPr>
        <w:t xml:space="preserve">Invest in Israel </w:t>
      </w:r>
      <w:r w:rsidRPr="00C4782E">
        <w:rPr>
          <w:rFonts w:cs="David"/>
          <w:i/>
          <w:iCs/>
          <w:sz w:val="24"/>
          <w:szCs w:val="24"/>
          <w:rtl/>
        </w:rPr>
        <w:t xml:space="preserve"> (להלן: היחידה).</w:t>
      </w:r>
    </w:p>
    <w:p w14:paraId="7883BF2D" w14:textId="77777777" w:rsidR="007D213E" w:rsidRDefault="00B16A84" w:rsidP="007D213E">
      <w:pPr>
        <w:spacing w:before="240" w:after="0" w:line="360" w:lineRule="auto"/>
        <w:ind w:left="720"/>
        <w:jc w:val="both"/>
        <w:rPr>
          <w:rFonts w:cs="David"/>
          <w:color w:val="000000"/>
          <w:sz w:val="26"/>
          <w:szCs w:val="26"/>
          <w:rtl/>
        </w:rPr>
      </w:pPr>
      <w:r w:rsidRPr="00C4782E">
        <w:rPr>
          <w:rFonts w:cs="David"/>
          <w:i/>
          <w:iCs/>
          <w:sz w:val="24"/>
          <w:szCs w:val="24"/>
          <w:rtl/>
        </w:rPr>
        <w:t xml:space="preserve"> היחידה הינה חלק מהרשות לשיתוף פעולה תעשייתי וקידום השקעות זרות (להלן: הרשות).</w:t>
      </w:r>
    </w:p>
    <w:p w14:paraId="0A0887FB" w14:textId="5D6B4D5D" w:rsidR="00B16A84" w:rsidRPr="007D213E" w:rsidRDefault="00B16A84" w:rsidP="007D213E">
      <w:pPr>
        <w:spacing w:after="0" w:line="360" w:lineRule="auto"/>
        <w:ind w:left="720"/>
        <w:jc w:val="both"/>
        <w:rPr>
          <w:rFonts w:cs="David"/>
          <w:color w:val="000000"/>
          <w:sz w:val="26"/>
          <w:szCs w:val="26"/>
          <w:rtl/>
        </w:rPr>
      </w:pPr>
      <w:r w:rsidRPr="00C4782E">
        <w:rPr>
          <w:rFonts w:cs="David" w:hint="eastAsia"/>
          <w:i/>
          <w:iCs/>
          <w:sz w:val="24"/>
          <w:szCs w:val="24"/>
          <w:rtl/>
        </w:rPr>
        <w:t>הביקורת</w:t>
      </w:r>
      <w:r w:rsidRPr="00C4782E">
        <w:rPr>
          <w:rFonts w:cs="David"/>
          <w:i/>
          <w:iCs/>
          <w:sz w:val="24"/>
          <w:szCs w:val="24"/>
          <w:rtl/>
        </w:rPr>
        <w:t xml:space="preserve"> בוצעה באמצעות משרד רו"ח ליאון </w:t>
      </w:r>
      <w:r w:rsidRPr="00C4782E">
        <w:rPr>
          <w:rFonts w:cs="David" w:hint="eastAsia"/>
          <w:i/>
          <w:iCs/>
          <w:sz w:val="24"/>
          <w:szCs w:val="24"/>
          <w:rtl/>
        </w:rPr>
        <w:t>אורליצקי</w:t>
      </w:r>
      <w:r w:rsidR="007D213E">
        <w:rPr>
          <w:rFonts w:cs="David"/>
          <w:i/>
          <w:iCs/>
          <w:sz w:val="24"/>
          <w:szCs w:val="24"/>
          <w:rtl/>
        </w:rPr>
        <w:t xml:space="preserve"> ושות'</w:t>
      </w:r>
    </w:p>
    <w:p w14:paraId="04556481" w14:textId="77777777" w:rsidR="00B16A84" w:rsidRPr="007D213E" w:rsidRDefault="00B16A84" w:rsidP="00B16A84">
      <w:pPr>
        <w:tabs>
          <w:tab w:val="left" w:pos="6371"/>
        </w:tabs>
        <w:spacing w:after="0" w:line="360" w:lineRule="auto"/>
        <w:jc w:val="both"/>
        <w:rPr>
          <w:rFonts w:cs="David"/>
          <w:i/>
          <w:iCs/>
          <w:sz w:val="4"/>
          <w:szCs w:val="4"/>
          <w:rtl/>
        </w:rPr>
      </w:pPr>
    </w:p>
    <w:p w14:paraId="5AFD64CE" w14:textId="357735E1" w:rsidR="00B16A84" w:rsidRDefault="00B16A84" w:rsidP="007D213E">
      <w:pPr>
        <w:spacing w:before="240" w:after="0" w:line="360" w:lineRule="auto"/>
        <w:ind w:left="714"/>
        <w:jc w:val="both"/>
        <w:rPr>
          <w:rFonts w:cs="David"/>
          <w:color w:val="000000"/>
          <w:sz w:val="26"/>
          <w:szCs w:val="26"/>
          <w:rtl/>
        </w:rPr>
      </w:pPr>
      <w:r w:rsidRPr="00C4782E">
        <w:rPr>
          <w:rFonts w:cs="David" w:hint="eastAsia"/>
          <w:i/>
          <w:iCs/>
          <w:sz w:val="24"/>
          <w:szCs w:val="24"/>
          <w:rtl/>
        </w:rPr>
        <w:t>טיוטת</w:t>
      </w:r>
      <w:r w:rsidRPr="00C4782E">
        <w:rPr>
          <w:rFonts w:cs="David"/>
          <w:i/>
          <w:iCs/>
          <w:sz w:val="24"/>
          <w:szCs w:val="24"/>
          <w:rtl/>
        </w:rPr>
        <w:t xml:space="preserve"> ה</w:t>
      </w:r>
      <w:r w:rsidR="00C5105E">
        <w:rPr>
          <w:rFonts w:cs="David"/>
          <w:i/>
          <w:iCs/>
          <w:sz w:val="24"/>
          <w:szCs w:val="24"/>
          <w:rtl/>
        </w:rPr>
        <w:t>דוח</w:t>
      </w:r>
      <w:r w:rsidRPr="00C4782E">
        <w:rPr>
          <w:rFonts w:cs="David"/>
          <w:i/>
          <w:iCs/>
          <w:sz w:val="24"/>
          <w:szCs w:val="24"/>
          <w:rtl/>
        </w:rPr>
        <w:t xml:space="preserve"> הופצה ביום 1.3.2020 לגורמים הבאים: מנהלת הרשות, </w:t>
      </w:r>
      <w:r w:rsidRPr="00C4782E">
        <w:rPr>
          <w:rFonts w:cs="David" w:hint="eastAsia"/>
          <w:i/>
          <w:iCs/>
          <w:sz w:val="24"/>
          <w:szCs w:val="24"/>
          <w:rtl/>
        </w:rPr>
        <w:t>יועמ</w:t>
      </w:r>
      <w:r w:rsidRPr="00C4782E">
        <w:rPr>
          <w:rFonts w:cs="David"/>
          <w:i/>
          <w:iCs/>
          <w:sz w:val="24"/>
          <w:szCs w:val="24"/>
          <w:rtl/>
        </w:rPr>
        <w:t xml:space="preserve">"שית המשרד, חשב המשרד וקיטועים ממנה הופצו למנהל הרשות להשקעות ולפיתוח התעשייה והכלכלה, למנהל </w:t>
      </w:r>
      <w:r w:rsidRPr="00C4782E">
        <w:rPr>
          <w:rFonts w:cs="David" w:hint="eastAsia"/>
          <w:i/>
          <w:iCs/>
          <w:sz w:val="24"/>
          <w:szCs w:val="24"/>
          <w:rtl/>
        </w:rPr>
        <w:t>מינהל</w:t>
      </w:r>
      <w:r w:rsidRPr="00C4782E">
        <w:rPr>
          <w:rFonts w:cs="David"/>
          <w:i/>
          <w:iCs/>
          <w:sz w:val="24"/>
          <w:szCs w:val="24"/>
          <w:rtl/>
        </w:rPr>
        <w:t xml:space="preserve"> סחר חוץ, ליו"ר רשות החדשנות, לסמנכ"ל בכיר </w:t>
      </w:r>
      <w:r w:rsidRPr="00C4782E">
        <w:rPr>
          <w:rFonts w:cs="David" w:hint="eastAsia"/>
          <w:i/>
          <w:iCs/>
          <w:sz w:val="24"/>
          <w:szCs w:val="24"/>
          <w:rtl/>
        </w:rPr>
        <w:t>למינהל</w:t>
      </w:r>
      <w:r w:rsidRPr="00C4782E">
        <w:rPr>
          <w:rFonts w:cs="David"/>
          <w:i/>
          <w:iCs/>
          <w:sz w:val="24"/>
          <w:szCs w:val="24"/>
          <w:rtl/>
        </w:rPr>
        <w:t xml:space="preserve"> ומש"א, לסמנכ"לית אסטרטגיה ותכנון מדיניות ולמנהל </w:t>
      </w:r>
      <w:r w:rsidRPr="00C4782E">
        <w:rPr>
          <w:rFonts w:cs="David" w:hint="eastAsia"/>
          <w:i/>
          <w:iCs/>
          <w:sz w:val="24"/>
          <w:szCs w:val="24"/>
          <w:rtl/>
        </w:rPr>
        <w:t>מינהל</w:t>
      </w:r>
      <w:r w:rsidRPr="00C4782E">
        <w:rPr>
          <w:rFonts w:cs="David"/>
          <w:i/>
          <w:iCs/>
          <w:sz w:val="24"/>
          <w:szCs w:val="24"/>
          <w:rtl/>
        </w:rPr>
        <w:t xml:space="preserve"> תעשיות</w:t>
      </w:r>
      <w:r w:rsidR="007D213E">
        <w:rPr>
          <w:rFonts w:cs="David" w:hint="cs"/>
          <w:sz w:val="24"/>
          <w:szCs w:val="24"/>
          <w:rtl/>
        </w:rPr>
        <w:t>".</w:t>
      </w:r>
      <w:r w:rsidR="007D213E">
        <w:rPr>
          <w:rFonts w:cs="David"/>
          <w:color w:val="000000"/>
          <w:sz w:val="26"/>
          <w:szCs w:val="26"/>
          <w:rtl/>
        </w:rPr>
        <w:t xml:space="preserve"> </w:t>
      </w:r>
    </w:p>
    <w:p w14:paraId="31A86837" w14:textId="77777777" w:rsidR="00CF2245" w:rsidRDefault="00CF2245" w:rsidP="007D213E">
      <w:pPr>
        <w:numPr>
          <w:ilvl w:val="0"/>
          <w:numId w:val="45"/>
        </w:numPr>
        <w:spacing w:before="240" w:after="120" w:line="360" w:lineRule="auto"/>
        <w:ind w:left="714" w:hanging="357"/>
        <w:jc w:val="both"/>
        <w:rPr>
          <w:rFonts w:cs="David"/>
          <w:b/>
          <w:bCs/>
          <w:color w:val="000000"/>
          <w:sz w:val="26"/>
          <w:szCs w:val="26"/>
        </w:rPr>
      </w:pPr>
      <w:r w:rsidRPr="00370896">
        <w:rPr>
          <w:rFonts w:cs="David"/>
          <w:b/>
          <w:bCs/>
          <w:color w:val="000000"/>
          <w:sz w:val="26"/>
          <w:szCs w:val="26"/>
          <w:rtl/>
        </w:rPr>
        <w:t>ביצוע פיקוח ואכיפה במסחר על ידי מינהל אכיפה ומדידה</w:t>
      </w:r>
    </w:p>
    <w:p w14:paraId="24B2C36C" w14:textId="6ADEA4E2" w:rsidR="00CF2245" w:rsidRDefault="00CF2245" w:rsidP="007D213E">
      <w:pPr>
        <w:spacing w:before="240" w:after="0" w:line="360" w:lineRule="auto"/>
        <w:ind w:left="714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>מצ"ב תמצית ה</w:t>
      </w:r>
      <w:r w:rsidR="00C5105E">
        <w:rPr>
          <w:rFonts w:cs="David" w:hint="cs"/>
          <w:color w:val="000000"/>
          <w:sz w:val="26"/>
          <w:szCs w:val="26"/>
          <w:rtl/>
        </w:rPr>
        <w:t>דוח</w:t>
      </w:r>
      <w:r>
        <w:rPr>
          <w:rFonts w:cs="David" w:hint="cs"/>
          <w:color w:val="000000"/>
          <w:sz w:val="26"/>
          <w:szCs w:val="26"/>
          <w:rtl/>
        </w:rPr>
        <w:t>.</w:t>
      </w:r>
      <w:r w:rsidR="00B16A84">
        <w:rPr>
          <w:rFonts w:cs="David" w:hint="cs"/>
          <w:color w:val="000000"/>
          <w:sz w:val="26"/>
          <w:szCs w:val="26"/>
          <w:rtl/>
        </w:rPr>
        <w:t xml:space="preserve"> זה המקום לציין כי ה</w:t>
      </w:r>
      <w:r w:rsidR="00C5105E">
        <w:rPr>
          <w:rFonts w:cs="David" w:hint="cs"/>
          <w:color w:val="000000"/>
          <w:sz w:val="26"/>
          <w:szCs w:val="26"/>
          <w:rtl/>
        </w:rPr>
        <w:t>דוח</w:t>
      </w:r>
      <w:r w:rsidR="00B16A84">
        <w:rPr>
          <w:rFonts w:cs="David" w:hint="cs"/>
          <w:color w:val="000000"/>
          <w:sz w:val="26"/>
          <w:szCs w:val="26"/>
          <w:rtl/>
        </w:rPr>
        <w:t xml:space="preserve"> עוסק, בין היתר, בפירוט פעולות האכיפה הפלילית שמבצע המשר</w:t>
      </w:r>
      <w:r w:rsidR="007D213E">
        <w:rPr>
          <w:rFonts w:cs="David" w:hint="cs"/>
          <w:color w:val="000000"/>
          <w:sz w:val="26"/>
          <w:szCs w:val="26"/>
          <w:rtl/>
        </w:rPr>
        <w:t xml:space="preserve">ד </w:t>
      </w:r>
      <w:r w:rsidR="00B16A84">
        <w:rPr>
          <w:rFonts w:cs="David" w:hint="cs"/>
          <w:color w:val="000000"/>
          <w:sz w:val="26"/>
          <w:szCs w:val="26"/>
          <w:rtl/>
        </w:rPr>
        <w:t>ובשל כך הושחרו חלקים בתמצית ה</w:t>
      </w:r>
      <w:r w:rsidR="00C5105E">
        <w:rPr>
          <w:rFonts w:cs="David" w:hint="cs"/>
          <w:color w:val="000000"/>
          <w:sz w:val="26"/>
          <w:szCs w:val="26"/>
          <w:rtl/>
        </w:rPr>
        <w:t>דוח</w:t>
      </w:r>
      <w:r w:rsidR="00B16A84">
        <w:rPr>
          <w:rFonts w:cs="David" w:hint="cs"/>
          <w:color w:val="000000"/>
          <w:sz w:val="26"/>
          <w:szCs w:val="26"/>
          <w:rtl/>
        </w:rPr>
        <w:t xml:space="preserve"> מן הסייגים האמורים בסעיף 9(ב)(8)</w:t>
      </w:r>
      <w:r w:rsidR="008E62DF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B16A84">
        <w:rPr>
          <w:rFonts w:cs="David" w:hint="cs"/>
          <w:color w:val="000000"/>
          <w:sz w:val="26"/>
          <w:szCs w:val="26"/>
          <w:rtl/>
        </w:rPr>
        <w:t>, סעיף 9(ב)(1)</w:t>
      </w:r>
      <w:r w:rsidR="008E62DF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B16A84">
        <w:rPr>
          <w:rFonts w:cs="David" w:hint="cs"/>
          <w:color w:val="000000"/>
          <w:sz w:val="26"/>
          <w:szCs w:val="26"/>
          <w:rtl/>
        </w:rPr>
        <w:t>, סעיף 9(ב)(2)</w:t>
      </w:r>
      <w:r w:rsidR="008E62DF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B16A84">
        <w:rPr>
          <w:rFonts w:cs="David" w:hint="cs"/>
          <w:color w:val="000000"/>
          <w:sz w:val="26"/>
          <w:szCs w:val="26"/>
          <w:rtl/>
        </w:rPr>
        <w:t xml:space="preserve">, סעיף 9(ב)(4) </w:t>
      </w:r>
      <w:r w:rsidR="008E62DF">
        <w:rPr>
          <w:rFonts w:cs="David" w:hint="cs"/>
          <w:color w:val="000000"/>
          <w:sz w:val="26"/>
          <w:szCs w:val="26"/>
          <w:rtl/>
        </w:rPr>
        <w:t xml:space="preserve">לחוק </w:t>
      </w:r>
      <w:r w:rsidR="00B16A84">
        <w:rPr>
          <w:rFonts w:cs="David" w:hint="cs"/>
          <w:color w:val="000000"/>
          <w:sz w:val="26"/>
          <w:szCs w:val="26"/>
          <w:rtl/>
        </w:rPr>
        <w:t>וסעיף 9(ב)(7)</w:t>
      </w:r>
      <w:r w:rsidR="008E62DF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B16A84">
        <w:rPr>
          <w:rFonts w:cs="David" w:hint="cs"/>
          <w:color w:val="000000"/>
          <w:sz w:val="26"/>
          <w:szCs w:val="26"/>
          <w:rtl/>
        </w:rPr>
        <w:t>.</w:t>
      </w:r>
    </w:p>
    <w:p w14:paraId="78FFDDF9" w14:textId="77777777" w:rsidR="00CF2245" w:rsidRPr="00370896" w:rsidRDefault="00CF2245" w:rsidP="007D213E">
      <w:pPr>
        <w:numPr>
          <w:ilvl w:val="0"/>
          <w:numId w:val="45"/>
        </w:numPr>
        <w:spacing w:before="240" w:after="120" w:line="360" w:lineRule="auto"/>
        <w:ind w:left="714" w:hanging="357"/>
        <w:jc w:val="both"/>
        <w:rPr>
          <w:rFonts w:cs="David"/>
          <w:b/>
          <w:bCs/>
          <w:color w:val="000000"/>
          <w:sz w:val="26"/>
          <w:szCs w:val="26"/>
        </w:rPr>
      </w:pPr>
      <w:r w:rsidRPr="00370896">
        <w:rPr>
          <w:rFonts w:cs="David"/>
          <w:b/>
          <w:bCs/>
          <w:color w:val="000000"/>
          <w:sz w:val="26"/>
          <w:szCs w:val="26"/>
          <w:rtl/>
        </w:rPr>
        <w:t>מסלול מענקים ברשות להשקעות ולפיתוח התעשייה והכלכלה</w:t>
      </w:r>
    </w:p>
    <w:p w14:paraId="0AF38E33" w14:textId="77777777" w:rsidR="00AF29AC" w:rsidRDefault="00CF2245" w:rsidP="00C4782E">
      <w:pPr>
        <w:spacing w:before="240" w:after="0" w:line="360" w:lineRule="auto"/>
        <w:ind w:left="720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>מצ"ב תמצית ה</w:t>
      </w:r>
      <w:r w:rsidR="00C5105E">
        <w:rPr>
          <w:rFonts w:cs="David" w:hint="cs"/>
          <w:color w:val="000000"/>
          <w:sz w:val="26"/>
          <w:szCs w:val="26"/>
          <w:rtl/>
        </w:rPr>
        <w:t>דוח</w:t>
      </w:r>
      <w:r w:rsidR="00B16A84">
        <w:rPr>
          <w:rFonts w:cs="David" w:hint="cs"/>
          <w:color w:val="000000"/>
          <w:sz w:val="26"/>
          <w:szCs w:val="26"/>
          <w:rtl/>
        </w:rPr>
        <w:t xml:space="preserve"> אשר נמסר ברובו למעט ההשחרות שהושחרו מן הטעמים האמורים בסעיף 9(ב)(1)</w:t>
      </w:r>
      <w:r w:rsidR="008E62DF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B16A84">
        <w:rPr>
          <w:rFonts w:cs="David" w:hint="cs"/>
          <w:color w:val="000000"/>
          <w:sz w:val="26"/>
          <w:szCs w:val="26"/>
          <w:rtl/>
        </w:rPr>
        <w:t>, סעיף 9(ב)(2)</w:t>
      </w:r>
      <w:r w:rsidR="008E62DF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B16A84">
        <w:rPr>
          <w:rFonts w:cs="David" w:hint="cs"/>
          <w:color w:val="000000"/>
          <w:sz w:val="26"/>
          <w:szCs w:val="26"/>
          <w:rtl/>
        </w:rPr>
        <w:t>, סעיף 9(ב)(4)</w:t>
      </w:r>
      <w:r w:rsidR="008E62DF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B16A84">
        <w:rPr>
          <w:rFonts w:cs="David" w:hint="cs"/>
          <w:color w:val="000000"/>
          <w:sz w:val="26"/>
          <w:szCs w:val="26"/>
          <w:rtl/>
        </w:rPr>
        <w:t>, סעיף 9(ב)(7)</w:t>
      </w:r>
      <w:r w:rsidR="008E62DF">
        <w:rPr>
          <w:rFonts w:cs="David" w:hint="cs"/>
          <w:color w:val="000000"/>
          <w:sz w:val="26"/>
          <w:szCs w:val="26"/>
          <w:rtl/>
        </w:rPr>
        <w:t xml:space="preserve"> לחוק</w:t>
      </w:r>
      <w:r w:rsidR="00B16A84">
        <w:rPr>
          <w:rFonts w:cs="David" w:hint="cs"/>
          <w:color w:val="000000"/>
          <w:sz w:val="26"/>
          <w:szCs w:val="26"/>
          <w:rtl/>
        </w:rPr>
        <w:t xml:space="preserve"> </w:t>
      </w:r>
      <w:r w:rsidR="008E62DF">
        <w:rPr>
          <w:rFonts w:cs="David" w:hint="cs"/>
          <w:color w:val="000000"/>
          <w:sz w:val="26"/>
          <w:szCs w:val="26"/>
          <w:rtl/>
        </w:rPr>
        <w:t>ו</w:t>
      </w:r>
      <w:r w:rsidR="00B16A84">
        <w:rPr>
          <w:rFonts w:cs="David" w:hint="cs"/>
          <w:color w:val="000000"/>
          <w:sz w:val="26"/>
          <w:szCs w:val="26"/>
          <w:rtl/>
        </w:rPr>
        <w:t>סעיף 9(ב)(8).</w:t>
      </w:r>
    </w:p>
    <w:p w14:paraId="533728A8" w14:textId="77777777" w:rsidR="00BF200E" w:rsidRDefault="00BF200E" w:rsidP="007D213E">
      <w:pPr>
        <w:spacing w:before="360" w:after="0" w:line="360" w:lineRule="auto"/>
        <w:jc w:val="both"/>
        <w:rPr>
          <w:rFonts w:cs="David"/>
          <w:sz w:val="26"/>
          <w:szCs w:val="26"/>
          <w:rtl/>
        </w:rPr>
      </w:pPr>
      <w:r w:rsidRPr="00DD796B">
        <w:rPr>
          <w:rFonts w:cs="David"/>
          <w:sz w:val="26"/>
          <w:szCs w:val="26"/>
          <w:rtl/>
        </w:rPr>
        <w:t xml:space="preserve">ככל שיידרש מידע בנושאים הרלוונטיים לתחומי אחריותו של משרד הכלכלה והתעשייה, אשמח להיות לך לעזר </w:t>
      </w:r>
      <w:r>
        <w:rPr>
          <w:rFonts w:cs="David" w:hint="cs"/>
          <w:sz w:val="26"/>
          <w:szCs w:val="26"/>
          <w:rtl/>
        </w:rPr>
        <w:t xml:space="preserve">גם </w:t>
      </w:r>
      <w:r w:rsidRPr="00DD796B">
        <w:rPr>
          <w:rFonts w:cs="David"/>
          <w:sz w:val="26"/>
          <w:szCs w:val="26"/>
          <w:rtl/>
        </w:rPr>
        <w:t>בעתיד.</w:t>
      </w:r>
    </w:p>
    <w:p w14:paraId="6BA21657" w14:textId="77777777" w:rsidR="00BF200E" w:rsidRDefault="00BF200E" w:rsidP="00BF200E">
      <w:pPr>
        <w:spacing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בברכה</w:t>
      </w:r>
    </w:p>
    <w:p w14:paraId="4440027D" w14:textId="77777777" w:rsidR="00BF200E" w:rsidRDefault="00BF200E" w:rsidP="00BF200E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יוסי זולפן,</w:t>
      </w:r>
    </w:p>
    <w:p w14:paraId="66AC4B0D" w14:textId="77777777" w:rsidR="00BF200E" w:rsidRPr="00BF200E" w:rsidRDefault="00BF200E" w:rsidP="00BF200E">
      <w:pPr>
        <w:spacing w:before="120" w:after="0" w:line="240" w:lineRule="auto"/>
        <w:jc w:val="center"/>
        <w:rPr>
          <w:rFonts w:cs="David"/>
          <w:sz w:val="8"/>
          <w:szCs w:val="8"/>
          <w:rtl/>
        </w:rPr>
      </w:pPr>
    </w:p>
    <w:p w14:paraId="7AC82329" w14:textId="77777777" w:rsidR="00BF200E" w:rsidRDefault="00BF200E" w:rsidP="00BF200E">
      <w:pPr>
        <w:spacing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הממונה על חוק חופש המידע</w:t>
      </w:r>
    </w:p>
    <w:p w14:paraId="6AF9DC3F" w14:textId="77777777" w:rsidR="00BF200E" w:rsidRPr="007852A8" w:rsidRDefault="00BF200E" w:rsidP="00BF200E">
      <w:pPr>
        <w:spacing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</w:t>
      </w:r>
      <w:r w:rsidRPr="00940488">
        <w:rPr>
          <w:rFonts w:ascii="Arial" w:eastAsia="Times New Roman" w:hAnsi="Arial" w:cs="David" w:hint="cs"/>
          <w:sz w:val="26"/>
          <w:szCs w:val="26"/>
          <w:rtl/>
        </w:rPr>
        <w:t>משרד הכלכלה והתעשייה</w:t>
      </w:r>
    </w:p>
    <w:p w14:paraId="645376F0" w14:textId="77777777" w:rsidR="005C0D06" w:rsidRDefault="005C0D06" w:rsidP="001E4D83">
      <w:pPr>
        <w:spacing w:before="240" w:after="0" w:line="240" w:lineRule="auto"/>
        <w:rPr>
          <w:rFonts w:ascii="Arial" w:eastAsia="Times New Roman" w:hAnsi="Arial" w:cs="David"/>
          <w:sz w:val="26"/>
          <w:szCs w:val="26"/>
          <w:rtl/>
        </w:rPr>
      </w:pPr>
    </w:p>
    <w:p w14:paraId="7106C188" w14:textId="77777777" w:rsidR="00BF200E" w:rsidRPr="00A76110" w:rsidRDefault="00BF200E" w:rsidP="00A76110">
      <w:pPr>
        <w:spacing w:after="0" w:line="240" w:lineRule="auto"/>
        <w:rPr>
          <w:rFonts w:cs="David"/>
          <w:sz w:val="26"/>
          <w:szCs w:val="26"/>
          <w:rtl/>
        </w:rPr>
      </w:pPr>
      <w:r w:rsidRPr="00A76110">
        <w:rPr>
          <w:rFonts w:cs="David" w:hint="cs"/>
          <w:sz w:val="26"/>
          <w:szCs w:val="26"/>
          <w:rtl/>
        </w:rPr>
        <w:t xml:space="preserve">העתק: </w:t>
      </w:r>
      <w:r w:rsidR="00A76110" w:rsidRPr="00A76110">
        <w:rPr>
          <w:rFonts w:cs="David" w:hint="cs"/>
          <w:sz w:val="26"/>
          <w:szCs w:val="26"/>
          <w:rtl/>
        </w:rPr>
        <w:t>גב' ליא</w:t>
      </w:r>
      <w:r w:rsidR="00BE70DA">
        <w:rPr>
          <w:rFonts w:cs="David" w:hint="cs"/>
          <w:sz w:val="26"/>
          <w:szCs w:val="26"/>
          <w:rtl/>
        </w:rPr>
        <w:t>ת</w:t>
      </w:r>
      <w:r w:rsidR="00A76110" w:rsidRPr="00A76110">
        <w:rPr>
          <w:rFonts w:cs="David" w:hint="cs"/>
          <w:sz w:val="26"/>
          <w:szCs w:val="26"/>
          <w:rtl/>
        </w:rPr>
        <w:t xml:space="preserve"> שלם, המבקרת הפנימית</w:t>
      </w:r>
    </w:p>
    <w:p w14:paraId="2B3B7146" w14:textId="77777777" w:rsidR="00A76110" w:rsidRPr="00A76110" w:rsidRDefault="00A76110" w:rsidP="00A76110">
      <w:pPr>
        <w:spacing w:after="0" w:line="240" w:lineRule="auto"/>
        <w:ind w:firstLine="720"/>
        <w:rPr>
          <w:rFonts w:cs="David"/>
          <w:sz w:val="26"/>
          <w:szCs w:val="26"/>
          <w:rtl/>
        </w:rPr>
      </w:pPr>
      <w:r w:rsidRPr="00A76110">
        <w:rPr>
          <w:rFonts w:cs="David" w:hint="cs"/>
          <w:sz w:val="26"/>
          <w:szCs w:val="26"/>
          <w:rtl/>
        </w:rPr>
        <w:t>מר גיל ארז, יועץ בכיר למנכ"ל</w:t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</w:p>
    <w:p w14:paraId="097560B2" w14:textId="4A502C7D" w:rsidR="00A76110" w:rsidRPr="00A76110" w:rsidRDefault="00A76110" w:rsidP="007D213E">
      <w:pPr>
        <w:spacing w:after="0" w:line="240" w:lineRule="auto"/>
        <w:ind w:firstLine="720"/>
        <w:rPr>
          <w:rFonts w:ascii="Arial" w:eastAsia="Times New Roman" w:hAnsi="Arial"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עו"ד מורן הרשקוביץ, ממונה תחום מטה וחופש המידע, הלשכה המשפטית </w:t>
      </w:r>
      <w:r>
        <w:rPr>
          <w:rFonts w:cs="David"/>
          <w:sz w:val="26"/>
          <w:szCs w:val="26"/>
          <w:rtl/>
        </w:rPr>
        <w:tab/>
      </w:r>
      <w:bookmarkStart w:id="0" w:name="_GoBack"/>
      <w:bookmarkEnd w:id="0"/>
    </w:p>
    <w:sectPr w:rsidR="00A76110" w:rsidRPr="00A76110" w:rsidSect="00BF200E">
      <w:headerReference w:type="default" r:id="rId8"/>
      <w:footerReference w:type="default" r:id="rId9"/>
      <w:pgSz w:w="11906" w:h="16838"/>
      <w:pgMar w:top="2269" w:right="1800" w:bottom="1276" w:left="170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D0B9" w14:textId="77777777" w:rsidR="00F175AB" w:rsidRDefault="00F175AB">
      <w:pPr>
        <w:spacing w:after="0" w:line="240" w:lineRule="auto"/>
      </w:pPr>
      <w:r>
        <w:separator/>
      </w:r>
    </w:p>
  </w:endnote>
  <w:endnote w:type="continuationSeparator" w:id="0">
    <w:p w14:paraId="29CF53F1" w14:textId="77777777" w:rsidR="00F175AB" w:rsidRDefault="00F1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FB43D" w14:textId="77777777" w:rsidR="00584DD8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משרד הכלכלה והתעשייה</w:t>
    </w:r>
  </w:p>
  <w:p w14:paraId="2F024740" w14:textId="77777777" w:rsidR="00641AB2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בניין ג'נרי, רחוב בנק ישראל 5, קריית הממשלה, ת"ד 3166, ירושלים 9103101</w:t>
    </w:r>
  </w:p>
  <w:p w14:paraId="057439D8" w14:textId="77777777" w:rsidR="00584DD8" w:rsidRDefault="00F175AB" w:rsidP="00584DD8">
    <w:pPr>
      <w:pStyle w:val="a5"/>
      <w:ind w:left="-989"/>
      <w:rPr>
        <w:noProof/>
        <w:rtl/>
      </w:rPr>
    </w:pPr>
  </w:p>
  <w:p w14:paraId="56DBD3E8" w14:textId="77777777" w:rsidR="00641AB2" w:rsidRDefault="00F175AB" w:rsidP="00641AB2">
    <w:pPr>
      <w:pStyle w:val="a5"/>
      <w:ind w:left="-807" w:hanging="199"/>
      <w:rPr>
        <w:sz w:val="20"/>
        <w:szCs w:val="20"/>
        <w:rtl/>
      </w:rPr>
    </w:pPr>
  </w:p>
  <w:p w14:paraId="4A5D4D36" w14:textId="77777777" w:rsidR="00415B40" w:rsidRPr="00641AB2" w:rsidRDefault="00F175AB" w:rsidP="00641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A7EA6" w14:textId="77777777" w:rsidR="00F175AB" w:rsidRDefault="00F175AB">
      <w:pPr>
        <w:spacing w:after="0" w:line="240" w:lineRule="auto"/>
      </w:pPr>
      <w:r>
        <w:separator/>
      </w:r>
    </w:p>
  </w:footnote>
  <w:footnote w:type="continuationSeparator" w:id="0">
    <w:p w14:paraId="20F4B2C6" w14:textId="77777777" w:rsidR="00F175AB" w:rsidRDefault="00F1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239A" w14:textId="77777777" w:rsidR="00FF22C0" w:rsidRDefault="00BF200E" w:rsidP="00FF22C0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8BEA32D" wp14:editId="4486F1BB">
          <wp:simplePos x="0" y="0"/>
          <wp:positionH relativeFrom="column">
            <wp:posOffset>-252730</wp:posOffset>
          </wp:positionH>
          <wp:positionV relativeFrom="paragraph">
            <wp:posOffset>133985</wp:posOffset>
          </wp:positionV>
          <wp:extent cx="2039620" cy="1190625"/>
          <wp:effectExtent l="0" t="0" r="0" b="9525"/>
          <wp:wrapSquare wrapText="bothSides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9C6B9" w14:textId="77777777" w:rsidR="00415B40" w:rsidRDefault="006038C5" w:rsidP="00A4092C">
    <w:pPr>
      <w:pStyle w:val="a3"/>
      <w:tabs>
        <w:tab w:val="clear" w:pos="8306"/>
      </w:tabs>
      <w:ind w:left="-58" w:right="-1800" w:hanging="170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F45A7E" wp14:editId="44405928">
          <wp:simplePos x="0" y="0"/>
          <wp:positionH relativeFrom="column">
            <wp:posOffset>4739640</wp:posOffset>
          </wp:positionH>
          <wp:positionV relativeFrom="paragraph">
            <wp:posOffset>122555</wp:posOffset>
          </wp:positionV>
          <wp:extent cx="646430" cy="800100"/>
          <wp:effectExtent l="0" t="0" r="1270" b="0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דינה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AE8"/>
    <w:multiLevelType w:val="hybridMultilevel"/>
    <w:tmpl w:val="7FB6FC46"/>
    <w:lvl w:ilvl="0" w:tplc="D28285F4">
      <w:start w:val="1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25A9"/>
    <w:multiLevelType w:val="multilevel"/>
    <w:tmpl w:val="1CBCA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270CF"/>
    <w:multiLevelType w:val="hybridMultilevel"/>
    <w:tmpl w:val="62D02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4ACD"/>
    <w:multiLevelType w:val="hybridMultilevel"/>
    <w:tmpl w:val="CE1A330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14242"/>
    <w:multiLevelType w:val="hybridMultilevel"/>
    <w:tmpl w:val="1A36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5529"/>
    <w:multiLevelType w:val="multilevel"/>
    <w:tmpl w:val="BF1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91116"/>
    <w:multiLevelType w:val="multilevel"/>
    <w:tmpl w:val="6A084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B50FD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F20CF"/>
    <w:multiLevelType w:val="multilevel"/>
    <w:tmpl w:val="B81EE5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53D45"/>
    <w:multiLevelType w:val="hybridMultilevel"/>
    <w:tmpl w:val="9D041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5C79"/>
    <w:multiLevelType w:val="hybridMultilevel"/>
    <w:tmpl w:val="9D101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DC5FD8"/>
    <w:multiLevelType w:val="multilevel"/>
    <w:tmpl w:val="79A2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341A9"/>
    <w:multiLevelType w:val="hybridMultilevel"/>
    <w:tmpl w:val="7E3401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928A6"/>
    <w:multiLevelType w:val="hybridMultilevel"/>
    <w:tmpl w:val="51302F48"/>
    <w:lvl w:ilvl="0" w:tplc="15D855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A779E"/>
    <w:multiLevelType w:val="hybridMultilevel"/>
    <w:tmpl w:val="04267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C12AD"/>
    <w:multiLevelType w:val="hybridMultilevel"/>
    <w:tmpl w:val="6186D15E"/>
    <w:lvl w:ilvl="0" w:tplc="09BA62D0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ED0280"/>
    <w:multiLevelType w:val="hybridMultilevel"/>
    <w:tmpl w:val="A018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FE3"/>
    <w:multiLevelType w:val="hybridMultilevel"/>
    <w:tmpl w:val="D6A4F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5C5076"/>
    <w:multiLevelType w:val="multilevel"/>
    <w:tmpl w:val="E5EA0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328DC"/>
    <w:multiLevelType w:val="hybridMultilevel"/>
    <w:tmpl w:val="010697C4"/>
    <w:lvl w:ilvl="0" w:tplc="AE8831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620C0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F5A3C"/>
    <w:multiLevelType w:val="hybridMultilevel"/>
    <w:tmpl w:val="9BBCF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D6104"/>
    <w:multiLevelType w:val="hybridMultilevel"/>
    <w:tmpl w:val="811E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E5DE8"/>
    <w:multiLevelType w:val="hybridMultilevel"/>
    <w:tmpl w:val="294E19CA"/>
    <w:lvl w:ilvl="0" w:tplc="201670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83123"/>
    <w:multiLevelType w:val="multilevel"/>
    <w:tmpl w:val="922E7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0F7638"/>
    <w:multiLevelType w:val="hybridMultilevel"/>
    <w:tmpl w:val="E28A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D082D"/>
    <w:multiLevelType w:val="hybridMultilevel"/>
    <w:tmpl w:val="1FEC02D2"/>
    <w:lvl w:ilvl="0" w:tplc="9BAA7074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A01BA2"/>
    <w:multiLevelType w:val="multilevel"/>
    <w:tmpl w:val="8E4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384618"/>
    <w:multiLevelType w:val="multilevel"/>
    <w:tmpl w:val="820442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73C02"/>
    <w:multiLevelType w:val="hybridMultilevel"/>
    <w:tmpl w:val="9D30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E44C3"/>
    <w:multiLevelType w:val="hybridMultilevel"/>
    <w:tmpl w:val="6C7A1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816728"/>
    <w:multiLevelType w:val="hybridMultilevel"/>
    <w:tmpl w:val="F85EC0AC"/>
    <w:lvl w:ilvl="0" w:tplc="3E20C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B3D1B"/>
    <w:multiLevelType w:val="multilevel"/>
    <w:tmpl w:val="0C9A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675BEA"/>
    <w:multiLevelType w:val="hybridMultilevel"/>
    <w:tmpl w:val="992A5B32"/>
    <w:lvl w:ilvl="0" w:tplc="B0BA43C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111CF"/>
    <w:multiLevelType w:val="multilevel"/>
    <w:tmpl w:val="B242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4975A8"/>
    <w:multiLevelType w:val="hybridMultilevel"/>
    <w:tmpl w:val="FCB0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70C95"/>
    <w:multiLevelType w:val="multilevel"/>
    <w:tmpl w:val="DF46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806D33"/>
    <w:multiLevelType w:val="hybridMultilevel"/>
    <w:tmpl w:val="C584D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303A75"/>
    <w:multiLevelType w:val="hybridMultilevel"/>
    <w:tmpl w:val="BD0E3AEE"/>
    <w:lvl w:ilvl="0" w:tplc="1DD4BCBA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8D3AFA"/>
    <w:multiLevelType w:val="hybridMultilevel"/>
    <w:tmpl w:val="9D30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06B3A"/>
    <w:multiLevelType w:val="hybridMultilevel"/>
    <w:tmpl w:val="03C88BB2"/>
    <w:lvl w:ilvl="0" w:tplc="A1DE4D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483D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B10F7B"/>
    <w:multiLevelType w:val="multilevel"/>
    <w:tmpl w:val="072A40AE"/>
    <w:lvl w:ilvl="0">
      <w:start w:val="1"/>
      <w:numFmt w:val="decimal"/>
      <w:lvlText w:val="%1."/>
      <w:lvlJc w:val="left"/>
      <w:pPr>
        <w:ind w:left="720" w:hanging="360"/>
      </w:pPr>
      <w:rPr>
        <w:rFonts w:cs="David" w:hint="default"/>
        <w:b/>
        <w:bCs w:val="0"/>
        <w:sz w:val="24"/>
        <w:szCs w:val="24"/>
        <w:lang w:val="en-US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27B36C1"/>
    <w:multiLevelType w:val="hybridMultilevel"/>
    <w:tmpl w:val="A4E0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81365"/>
    <w:multiLevelType w:val="hybridMultilevel"/>
    <w:tmpl w:val="B7887F22"/>
    <w:lvl w:ilvl="0" w:tplc="584CE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F1416"/>
    <w:multiLevelType w:val="hybridMultilevel"/>
    <w:tmpl w:val="9DA696E6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6" w15:restartNumberingAfterBreak="0">
    <w:nsid w:val="7EF00B9A"/>
    <w:multiLevelType w:val="hybridMultilevel"/>
    <w:tmpl w:val="7FBA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722D0"/>
    <w:multiLevelType w:val="multilevel"/>
    <w:tmpl w:val="8F32D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5"/>
  </w:num>
  <w:num w:numId="4">
    <w:abstractNumId w:val="33"/>
  </w:num>
  <w:num w:numId="5">
    <w:abstractNumId w:val="32"/>
  </w:num>
  <w:num w:numId="6">
    <w:abstractNumId w:val="34"/>
  </w:num>
  <w:num w:numId="7">
    <w:abstractNumId w:val="18"/>
  </w:num>
  <w:num w:numId="8">
    <w:abstractNumId w:val="24"/>
  </w:num>
  <w:num w:numId="9">
    <w:abstractNumId w:val="6"/>
  </w:num>
  <w:num w:numId="10">
    <w:abstractNumId w:val="47"/>
  </w:num>
  <w:num w:numId="11">
    <w:abstractNumId w:val="1"/>
  </w:num>
  <w:num w:numId="12">
    <w:abstractNumId w:val="8"/>
  </w:num>
  <w:num w:numId="13">
    <w:abstractNumId w:val="28"/>
  </w:num>
  <w:num w:numId="14">
    <w:abstractNumId w:val="21"/>
  </w:num>
  <w:num w:numId="15">
    <w:abstractNumId w:val="17"/>
  </w:num>
  <w:num w:numId="16">
    <w:abstractNumId w:val="37"/>
  </w:num>
  <w:num w:numId="17">
    <w:abstractNumId w:val="19"/>
  </w:num>
  <w:num w:numId="18">
    <w:abstractNumId w:val="13"/>
  </w:num>
  <w:num w:numId="19">
    <w:abstractNumId w:val="23"/>
  </w:num>
  <w:num w:numId="20">
    <w:abstractNumId w:val="4"/>
  </w:num>
  <w:num w:numId="21">
    <w:abstractNumId w:val="15"/>
  </w:num>
  <w:num w:numId="22">
    <w:abstractNumId w:val="44"/>
  </w:num>
  <w:num w:numId="23">
    <w:abstractNumId w:val="46"/>
  </w:num>
  <w:num w:numId="24">
    <w:abstractNumId w:val="25"/>
  </w:num>
  <w:num w:numId="25">
    <w:abstractNumId w:val="42"/>
  </w:num>
  <w:num w:numId="26">
    <w:abstractNumId w:val="26"/>
  </w:num>
  <w:num w:numId="27">
    <w:abstractNumId w:val="22"/>
  </w:num>
  <w:num w:numId="28">
    <w:abstractNumId w:val="43"/>
  </w:num>
  <w:num w:numId="29">
    <w:abstractNumId w:val="45"/>
  </w:num>
  <w:num w:numId="30">
    <w:abstractNumId w:val="7"/>
  </w:num>
  <w:num w:numId="31">
    <w:abstractNumId w:val="20"/>
  </w:num>
  <w:num w:numId="32">
    <w:abstractNumId w:val="3"/>
  </w:num>
  <w:num w:numId="33">
    <w:abstractNumId w:val="0"/>
  </w:num>
  <w:num w:numId="34">
    <w:abstractNumId w:val="31"/>
  </w:num>
  <w:num w:numId="35">
    <w:abstractNumId w:val="16"/>
  </w:num>
  <w:num w:numId="36">
    <w:abstractNumId w:val="40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39"/>
  </w:num>
  <w:num w:numId="43">
    <w:abstractNumId w:val="10"/>
  </w:num>
  <w:num w:numId="44">
    <w:abstractNumId w:val="11"/>
  </w:num>
  <w:num w:numId="45">
    <w:abstractNumId w:val="35"/>
  </w:num>
  <w:num w:numId="46">
    <w:abstractNumId w:val="29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07"/>
    <w:rsid w:val="00003CD8"/>
    <w:rsid w:val="00006075"/>
    <w:rsid w:val="00010063"/>
    <w:rsid w:val="00021C1F"/>
    <w:rsid w:val="000232D1"/>
    <w:rsid w:val="00040ED0"/>
    <w:rsid w:val="00066931"/>
    <w:rsid w:val="00070FC1"/>
    <w:rsid w:val="00080318"/>
    <w:rsid w:val="0008035E"/>
    <w:rsid w:val="00082953"/>
    <w:rsid w:val="000850AA"/>
    <w:rsid w:val="00086DF3"/>
    <w:rsid w:val="0009148A"/>
    <w:rsid w:val="000B3E80"/>
    <w:rsid w:val="000B5D3A"/>
    <w:rsid w:val="000D5843"/>
    <w:rsid w:val="00100EDF"/>
    <w:rsid w:val="001076EB"/>
    <w:rsid w:val="0011508B"/>
    <w:rsid w:val="00116038"/>
    <w:rsid w:val="0012529B"/>
    <w:rsid w:val="00132EA3"/>
    <w:rsid w:val="00146244"/>
    <w:rsid w:val="00155C64"/>
    <w:rsid w:val="00157DD3"/>
    <w:rsid w:val="00163871"/>
    <w:rsid w:val="00167017"/>
    <w:rsid w:val="001806D4"/>
    <w:rsid w:val="00186BC4"/>
    <w:rsid w:val="001A13FF"/>
    <w:rsid w:val="001B08EF"/>
    <w:rsid w:val="001B660A"/>
    <w:rsid w:val="001C087E"/>
    <w:rsid w:val="001C2957"/>
    <w:rsid w:val="001D04E6"/>
    <w:rsid w:val="001D19F3"/>
    <w:rsid w:val="001D451D"/>
    <w:rsid w:val="001E4D83"/>
    <w:rsid w:val="001F5DEB"/>
    <w:rsid w:val="002013FD"/>
    <w:rsid w:val="00201B68"/>
    <w:rsid w:val="002048D1"/>
    <w:rsid w:val="00205008"/>
    <w:rsid w:val="00205CC6"/>
    <w:rsid w:val="00224505"/>
    <w:rsid w:val="002424DB"/>
    <w:rsid w:val="00250F60"/>
    <w:rsid w:val="00257139"/>
    <w:rsid w:val="00261086"/>
    <w:rsid w:val="00263EB7"/>
    <w:rsid w:val="00272556"/>
    <w:rsid w:val="00280526"/>
    <w:rsid w:val="00297931"/>
    <w:rsid w:val="002A2F1F"/>
    <w:rsid w:val="002A3BF4"/>
    <w:rsid w:val="002A5F2F"/>
    <w:rsid w:val="002C15B0"/>
    <w:rsid w:val="002C4149"/>
    <w:rsid w:val="002D432C"/>
    <w:rsid w:val="002E4707"/>
    <w:rsid w:val="002F11FE"/>
    <w:rsid w:val="00303EC4"/>
    <w:rsid w:val="00317867"/>
    <w:rsid w:val="003212DF"/>
    <w:rsid w:val="00335232"/>
    <w:rsid w:val="00340C25"/>
    <w:rsid w:val="003704D8"/>
    <w:rsid w:val="00370896"/>
    <w:rsid w:val="0037528C"/>
    <w:rsid w:val="00381DB8"/>
    <w:rsid w:val="00384C8D"/>
    <w:rsid w:val="003A28FF"/>
    <w:rsid w:val="003B02FB"/>
    <w:rsid w:val="003B07A3"/>
    <w:rsid w:val="003B405A"/>
    <w:rsid w:val="003B45FA"/>
    <w:rsid w:val="003C2AB4"/>
    <w:rsid w:val="003C435C"/>
    <w:rsid w:val="003D28A7"/>
    <w:rsid w:val="003E3460"/>
    <w:rsid w:val="003F780F"/>
    <w:rsid w:val="004131AA"/>
    <w:rsid w:val="0041600C"/>
    <w:rsid w:val="004248AD"/>
    <w:rsid w:val="00432EA6"/>
    <w:rsid w:val="00437135"/>
    <w:rsid w:val="0044653C"/>
    <w:rsid w:val="00460C4A"/>
    <w:rsid w:val="00473D08"/>
    <w:rsid w:val="00481F12"/>
    <w:rsid w:val="00483B5E"/>
    <w:rsid w:val="00490EA4"/>
    <w:rsid w:val="0049777B"/>
    <w:rsid w:val="004A384E"/>
    <w:rsid w:val="004B21B0"/>
    <w:rsid w:val="004E3329"/>
    <w:rsid w:val="004F23D5"/>
    <w:rsid w:val="004F5D67"/>
    <w:rsid w:val="00506C93"/>
    <w:rsid w:val="005461C6"/>
    <w:rsid w:val="0054671B"/>
    <w:rsid w:val="005518DE"/>
    <w:rsid w:val="00555B47"/>
    <w:rsid w:val="00557AB8"/>
    <w:rsid w:val="00562704"/>
    <w:rsid w:val="005704B7"/>
    <w:rsid w:val="00581793"/>
    <w:rsid w:val="005970E0"/>
    <w:rsid w:val="005A7688"/>
    <w:rsid w:val="005C0D06"/>
    <w:rsid w:val="005D01BD"/>
    <w:rsid w:val="005D7899"/>
    <w:rsid w:val="005E33CB"/>
    <w:rsid w:val="00600552"/>
    <w:rsid w:val="006038C5"/>
    <w:rsid w:val="00604AC8"/>
    <w:rsid w:val="0060693A"/>
    <w:rsid w:val="00606989"/>
    <w:rsid w:val="00613317"/>
    <w:rsid w:val="00622FD6"/>
    <w:rsid w:val="006300A3"/>
    <w:rsid w:val="00685419"/>
    <w:rsid w:val="006A46EC"/>
    <w:rsid w:val="006A4885"/>
    <w:rsid w:val="006B0285"/>
    <w:rsid w:val="006B327A"/>
    <w:rsid w:val="006B7C73"/>
    <w:rsid w:val="006C0E61"/>
    <w:rsid w:val="006C4E09"/>
    <w:rsid w:val="006D26B3"/>
    <w:rsid w:val="006D7C6C"/>
    <w:rsid w:val="006E1174"/>
    <w:rsid w:val="0070178A"/>
    <w:rsid w:val="00722DC2"/>
    <w:rsid w:val="0072634B"/>
    <w:rsid w:val="00727154"/>
    <w:rsid w:val="0073107E"/>
    <w:rsid w:val="0073141E"/>
    <w:rsid w:val="007421EC"/>
    <w:rsid w:val="007572F2"/>
    <w:rsid w:val="0076098F"/>
    <w:rsid w:val="00760C2D"/>
    <w:rsid w:val="00761DCF"/>
    <w:rsid w:val="00763121"/>
    <w:rsid w:val="007637C8"/>
    <w:rsid w:val="00774164"/>
    <w:rsid w:val="007852A8"/>
    <w:rsid w:val="00786C8F"/>
    <w:rsid w:val="00790156"/>
    <w:rsid w:val="007964F7"/>
    <w:rsid w:val="007A7CA3"/>
    <w:rsid w:val="007B2814"/>
    <w:rsid w:val="007B6A39"/>
    <w:rsid w:val="007B6C4D"/>
    <w:rsid w:val="007D213E"/>
    <w:rsid w:val="007D613D"/>
    <w:rsid w:val="007F62D1"/>
    <w:rsid w:val="00815AF6"/>
    <w:rsid w:val="0082347B"/>
    <w:rsid w:val="00834F64"/>
    <w:rsid w:val="00841553"/>
    <w:rsid w:val="008508FB"/>
    <w:rsid w:val="008540FE"/>
    <w:rsid w:val="008632C6"/>
    <w:rsid w:val="008731FC"/>
    <w:rsid w:val="008843C9"/>
    <w:rsid w:val="0089008E"/>
    <w:rsid w:val="008A36B2"/>
    <w:rsid w:val="008B5414"/>
    <w:rsid w:val="008D14F2"/>
    <w:rsid w:val="008D42B5"/>
    <w:rsid w:val="008E62DF"/>
    <w:rsid w:val="008F0C52"/>
    <w:rsid w:val="008F1593"/>
    <w:rsid w:val="009005F6"/>
    <w:rsid w:val="009016BB"/>
    <w:rsid w:val="00903494"/>
    <w:rsid w:val="00913549"/>
    <w:rsid w:val="009146A3"/>
    <w:rsid w:val="0092026D"/>
    <w:rsid w:val="0093446D"/>
    <w:rsid w:val="00940488"/>
    <w:rsid w:val="009426DA"/>
    <w:rsid w:val="00956660"/>
    <w:rsid w:val="00961782"/>
    <w:rsid w:val="00963DCD"/>
    <w:rsid w:val="00975108"/>
    <w:rsid w:val="0098291B"/>
    <w:rsid w:val="009B18C4"/>
    <w:rsid w:val="009B380C"/>
    <w:rsid w:val="009C3F85"/>
    <w:rsid w:val="009C3FDD"/>
    <w:rsid w:val="009D6DA2"/>
    <w:rsid w:val="009E15B3"/>
    <w:rsid w:val="009E182F"/>
    <w:rsid w:val="00A01D37"/>
    <w:rsid w:val="00A22E81"/>
    <w:rsid w:val="00A25F05"/>
    <w:rsid w:val="00A42BCC"/>
    <w:rsid w:val="00A45A50"/>
    <w:rsid w:val="00A52B1F"/>
    <w:rsid w:val="00A636FC"/>
    <w:rsid w:val="00A6401E"/>
    <w:rsid w:val="00A749A5"/>
    <w:rsid w:val="00A75FE6"/>
    <w:rsid w:val="00A76110"/>
    <w:rsid w:val="00A81325"/>
    <w:rsid w:val="00A90A55"/>
    <w:rsid w:val="00A91F65"/>
    <w:rsid w:val="00AA073E"/>
    <w:rsid w:val="00AB429A"/>
    <w:rsid w:val="00AD207F"/>
    <w:rsid w:val="00AE4D2C"/>
    <w:rsid w:val="00AF29AC"/>
    <w:rsid w:val="00B14C1A"/>
    <w:rsid w:val="00B16870"/>
    <w:rsid w:val="00B16A84"/>
    <w:rsid w:val="00B379D4"/>
    <w:rsid w:val="00B46E04"/>
    <w:rsid w:val="00B56A6D"/>
    <w:rsid w:val="00B74DD9"/>
    <w:rsid w:val="00B7726F"/>
    <w:rsid w:val="00B86C96"/>
    <w:rsid w:val="00B91A74"/>
    <w:rsid w:val="00B93E5F"/>
    <w:rsid w:val="00B959C1"/>
    <w:rsid w:val="00BA5B9B"/>
    <w:rsid w:val="00BB1555"/>
    <w:rsid w:val="00BB17A9"/>
    <w:rsid w:val="00BB3A8D"/>
    <w:rsid w:val="00BC3A5B"/>
    <w:rsid w:val="00BE70DA"/>
    <w:rsid w:val="00BF200E"/>
    <w:rsid w:val="00BF617E"/>
    <w:rsid w:val="00C00893"/>
    <w:rsid w:val="00C225EF"/>
    <w:rsid w:val="00C251FD"/>
    <w:rsid w:val="00C358E2"/>
    <w:rsid w:val="00C40C1B"/>
    <w:rsid w:val="00C4782E"/>
    <w:rsid w:val="00C5105E"/>
    <w:rsid w:val="00C53268"/>
    <w:rsid w:val="00C8260F"/>
    <w:rsid w:val="00C84D11"/>
    <w:rsid w:val="00C92282"/>
    <w:rsid w:val="00C95EE4"/>
    <w:rsid w:val="00CC25CD"/>
    <w:rsid w:val="00CC5F24"/>
    <w:rsid w:val="00CD5B9E"/>
    <w:rsid w:val="00CE1AA6"/>
    <w:rsid w:val="00CE532E"/>
    <w:rsid w:val="00CF2245"/>
    <w:rsid w:val="00CF3DF5"/>
    <w:rsid w:val="00D03A99"/>
    <w:rsid w:val="00D108DE"/>
    <w:rsid w:val="00D275CE"/>
    <w:rsid w:val="00D47740"/>
    <w:rsid w:val="00D56934"/>
    <w:rsid w:val="00D60939"/>
    <w:rsid w:val="00D64724"/>
    <w:rsid w:val="00D66697"/>
    <w:rsid w:val="00D677DE"/>
    <w:rsid w:val="00D71D63"/>
    <w:rsid w:val="00D74CB3"/>
    <w:rsid w:val="00D87BBF"/>
    <w:rsid w:val="00D92679"/>
    <w:rsid w:val="00D96957"/>
    <w:rsid w:val="00D9707E"/>
    <w:rsid w:val="00DA3D38"/>
    <w:rsid w:val="00DB2969"/>
    <w:rsid w:val="00DB41D8"/>
    <w:rsid w:val="00DB616D"/>
    <w:rsid w:val="00DC063C"/>
    <w:rsid w:val="00DD0963"/>
    <w:rsid w:val="00DE1F5E"/>
    <w:rsid w:val="00DF0D1D"/>
    <w:rsid w:val="00DF769A"/>
    <w:rsid w:val="00E152C7"/>
    <w:rsid w:val="00E15A9C"/>
    <w:rsid w:val="00E36AAD"/>
    <w:rsid w:val="00E46659"/>
    <w:rsid w:val="00E56028"/>
    <w:rsid w:val="00E71AAF"/>
    <w:rsid w:val="00E742F0"/>
    <w:rsid w:val="00E76E04"/>
    <w:rsid w:val="00E93120"/>
    <w:rsid w:val="00EA2101"/>
    <w:rsid w:val="00EA21DD"/>
    <w:rsid w:val="00EB2632"/>
    <w:rsid w:val="00EB3A94"/>
    <w:rsid w:val="00EC6D8C"/>
    <w:rsid w:val="00ED2DB7"/>
    <w:rsid w:val="00F0721A"/>
    <w:rsid w:val="00F175AB"/>
    <w:rsid w:val="00F202CF"/>
    <w:rsid w:val="00F42B3F"/>
    <w:rsid w:val="00F54338"/>
    <w:rsid w:val="00FA2C56"/>
    <w:rsid w:val="00FA4F55"/>
    <w:rsid w:val="00FB3CE5"/>
    <w:rsid w:val="00FC5187"/>
    <w:rsid w:val="00FC6D9E"/>
    <w:rsid w:val="00FE3CD2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846B"/>
  <w15:docId w15:val="{C52F3E60-0AD3-4883-9216-77B1328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D96957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D96957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D9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969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432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NormalWeb">
    <w:name w:val="Normal (Web)"/>
    <w:basedOn w:val="a"/>
    <w:uiPriority w:val="99"/>
    <w:semiHidden/>
    <w:unhideWhenUsed/>
    <w:rsid w:val="00381D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82953"/>
    <w:rPr>
      <w:b/>
      <w:bCs/>
    </w:rPr>
  </w:style>
  <w:style w:type="character" w:styleId="Hyperlink">
    <w:name w:val="Hyperlink"/>
    <w:basedOn w:val="a0"/>
    <w:uiPriority w:val="99"/>
    <w:unhideWhenUsed/>
    <w:rsid w:val="00562704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9B18C4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ac">
    <w:name w:val="טקסט רגיל תו"/>
    <w:basedOn w:val="a0"/>
    <w:link w:val="ab"/>
    <w:uiPriority w:val="99"/>
    <w:rsid w:val="009B18C4"/>
    <w:rPr>
      <w:rFonts w:ascii="Calibri" w:eastAsiaTheme="minorHAnsi" w:hAnsi="Calibri"/>
      <w:szCs w:val="21"/>
    </w:rPr>
  </w:style>
  <w:style w:type="character" w:customStyle="1" w:styleId="default">
    <w:name w:val="default"/>
    <w:basedOn w:val="a0"/>
    <w:rsid w:val="006A46EC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basedOn w:val="default"/>
    <w:rsid w:val="006A46EC"/>
    <w:rPr>
      <w:rFonts w:ascii="Times New Roman" w:hAnsi="Times New Roman" w:cs="Times New Roman"/>
      <w:sz w:val="32"/>
      <w:szCs w:val="32"/>
    </w:rPr>
  </w:style>
  <w:style w:type="paragraph" w:customStyle="1" w:styleId="P00">
    <w:name w:val="P00"/>
    <w:rsid w:val="006A46E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P22">
    <w:name w:val="P22"/>
    <w:basedOn w:val="P00"/>
    <w:rsid w:val="006A46EC"/>
    <w:pPr>
      <w:tabs>
        <w:tab w:val="clear" w:pos="624"/>
        <w:tab w:val="clear" w:pos="1021"/>
      </w:tabs>
      <w:ind w:right="1021"/>
    </w:pPr>
  </w:style>
  <w:style w:type="table" w:styleId="ad">
    <w:name w:val="Table Grid"/>
    <w:basedOn w:val="a1"/>
    <w:uiPriority w:val="59"/>
    <w:rsid w:val="0073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00">
    <w:name w:val="p00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0">
    <w:name w:val="p22"/>
    <w:basedOn w:val="a"/>
    <w:rsid w:val="00BF20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01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178A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701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178A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7017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1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005">
                  <w:marLeft w:val="0"/>
                  <w:marRight w:val="0"/>
                  <w:marTop w:val="0"/>
                  <w:marBottom w:val="0"/>
                  <w:divBdr>
                    <w:top w:val="single" w:sz="6" w:space="0" w:color="DEF2FC"/>
                    <w:left w:val="single" w:sz="6" w:space="0" w:color="DEF2FC"/>
                    <w:bottom w:val="single" w:sz="2" w:space="0" w:color="DEF2FC"/>
                    <w:right w:val="single" w:sz="6" w:space="0" w:color="DEF2FC"/>
                  </w:divBdr>
                  <w:divsChild>
                    <w:div w:id="9625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7686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5156">
                              <w:marLeft w:val="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3577">
                                      <w:marLeft w:val="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4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53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16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93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727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ii\AppData\Roaming\Microsoft\Templates\&#1496;&#1502;&#1508;&#1500;&#1496;%20&#1502;&#1513;&#1488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BF54-B0D7-4F21-B87F-3336DCA6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טמפלט משא.dotx</Template>
  <TotalTime>33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Economy</dc:creator>
  <cp:lastModifiedBy>Windows User</cp:lastModifiedBy>
  <cp:revision>7</cp:revision>
  <cp:lastPrinted>2020-05-20T12:12:00Z</cp:lastPrinted>
  <dcterms:created xsi:type="dcterms:W3CDTF">2023-02-01T15:26:00Z</dcterms:created>
  <dcterms:modified xsi:type="dcterms:W3CDTF">2023-02-02T11:22:00Z</dcterms:modified>
</cp:coreProperties>
</file>