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0CA" w:rsidRDefault="005A4A94" w:rsidP="00C770CA">
      <w:pPr>
        <w:bidi/>
        <w:spacing w:after="200" w:line="360" w:lineRule="auto"/>
        <w:ind w:left="360"/>
        <w:jc w:val="right"/>
        <w:rPr>
          <w:rFonts w:cs="David"/>
          <w:rtl/>
        </w:rPr>
      </w:pPr>
      <w:r>
        <w:rPr>
          <w:rFonts w:cs="David" w:hint="eastAsia"/>
          <w:highlight w:val="yellow"/>
          <w:rtl/>
        </w:rPr>
        <w:t>‏</w:t>
      </w:r>
      <w:r>
        <w:rPr>
          <w:rFonts w:cs="David" w:hint="eastAsia"/>
          <w:rtl/>
        </w:rPr>
        <w:t>‏</w:t>
      </w:r>
      <w:r w:rsidR="00C770CA">
        <w:rPr>
          <w:rFonts w:cs="David" w:hint="eastAsia"/>
          <w:rtl/>
        </w:rPr>
        <w:t>‏ט</w:t>
      </w:r>
      <w:r w:rsidR="00C770CA">
        <w:rPr>
          <w:rFonts w:cs="David"/>
          <w:rtl/>
        </w:rPr>
        <w:t>"ו טבת תש"פ</w:t>
      </w:r>
    </w:p>
    <w:p w:rsidR="005A4A94" w:rsidRDefault="005A4A94" w:rsidP="00C770CA">
      <w:pPr>
        <w:bidi/>
        <w:spacing w:after="200" w:line="360" w:lineRule="auto"/>
        <w:ind w:left="360"/>
        <w:jc w:val="right"/>
        <w:rPr>
          <w:rFonts w:cs="David"/>
          <w:rtl/>
        </w:rPr>
      </w:pPr>
      <w:r>
        <w:rPr>
          <w:rFonts w:cs="David" w:hint="eastAsia"/>
          <w:rtl/>
        </w:rPr>
        <w:t>‏‏</w:t>
      </w:r>
      <w:r w:rsidR="00C770CA">
        <w:rPr>
          <w:rFonts w:cs="David" w:hint="eastAsia"/>
          <w:rtl/>
        </w:rPr>
        <w:t>‏</w:t>
      </w:r>
      <w:r w:rsidR="00C770CA">
        <w:rPr>
          <w:rFonts w:cs="David"/>
          <w:rtl/>
        </w:rPr>
        <w:t>12 ינואר 2020</w:t>
      </w:r>
    </w:p>
    <w:p w:rsidR="005A4A94" w:rsidRDefault="005A4A94" w:rsidP="005A4A94">
      <w:pPr>
        <w:bidi/>
        <w:spacing w:after="200" w:line="360" w:lineRule="auto"/>
        <w:ind w:left="360"/>
        <w:jc w:val="right"/>
        <w:rPr>
          <w:rFonts w:cs="David"/>
          <w:rtl/>
        </w:rPr>
      </w:pPr>
      <w:r>
        <w:rPr>
          <w:rFonts w:ascii="David" w:hAnsi="David" w:cs="David"/>
          <w:rtl/>
        </w:rPr>
        <w:t xml:space="preserve">מספר בקשה: </w:t>
      </w:r>
      <w:r>
        <w:rPr>
          <w:rFonts w:ascii="David" w:hAnsi="David" w:cs="David" w:hint="cs"/>
        </w:rPr>
        <w:t>3022-19-0020</w:t>
      </w:r>
    </w:p>
    <w:p w:rsidR="005A4A94" w:rsidRDefault="005A4A94" w:rsidP="005A4A94">
      <w:pPr>
        <w:bidi/>
        <w:spacing w:after="200" w:line="360" w:lineRule="auto"/>
        <w:ind w:left="360"/>
        <w:jc w:val="both"/>
        <w:rPr>
          <w:rFonts w:cs="David"/>
          <w:rtl/>
        </w:rPr>
      </w:pPr>
      <w:r>
        <w:rPr>
          <w:rFonts w:cs="David" w:hint="cs"/>
          <w:rtl/>
        </w:rPr>
        <w:t>לכבוד</w:t>
      </w:r>
    </w:p>
    <w:p w:rsidR="005A4A94" w:rsidRDefault="005A4A94" w:rsidP="005A4A94">
      <w:pPr>
        <w:bidi/>
        <w:spacing w:after="200" w:line="360" w:lineRule="auto"/>
        <w:ind w:left="360"/>
        <w:jc w:val="both"/>
        <w:rPr>
          <w:rFonts w:cs="David"/>
          <w:rtl/>
        </w:rPr>
      </w:pPr>
      <w:r>
        <w:rPr>
          <w:rFonts w:cs="Calibri" w:hint="cs"/>
          <w:rtl/>
        </w:rPr>
        <w:t>הצלחה</w:t>
      </w:r>
      <w:r>
        <w:rPr>
          <w:rFonts w:cs="David" w:hint="cs"/>
        </w:rPr>
        <w:t xml:space="preserve"> - </w:t>
      </w:r>
      <w:r>
        <w:rPr>
          <w:rFonts w:cs="Calibri" w:hint="cs"/>
          <w:rtl/>
        </w:rPr>
        <w:t>התנועה</w:t>
      </w:r>
      <w:r>
        <w:rPr>
          <w:rFonts w:cs="David" w:hint="cs"/>
        </w:rPr>
        <w:t xml:space="preserve"> </w:t>
      </w:r>
      <w:r>
        <w:rPr>
          <w:rFonts w:cs="Calibri" w:hint="cs"/>
          <w:rtl/>
        </w:rPr>
        <w:t>הצרכנית</w:t>
      </w:r>
      <w:r>
        <w:rPr>
          <w:rFonts w:cs="David" w:hint="cs"/>
        </w:rPr>
        <w:t xml:space="preserve"> </w:t>
      </w:r>
      <w:r>
        <w:rPr>
          <w:rFonts w:cs="Calibri" w:hint="cs"/>
          <w:rtl/>
        </w:rPr>
        <w:t>לקידום</w:t>
      </w:r>
      <w:r>
        <w:rPr>
          <w:rFonts w:cs="David" w:hint="cs"/>
        </w:rPr>
        <w:t xml:space="preserve"> </w:t>
      </w:r>
      <w:r>
        <w:rPr>
          <w:rFonts w:cs="Calibri" w:hint="cs"/>
          <w:rtl/>
        </w:rPr>
        <w:t>חברה</w:t>
      </w:r>
      <w:r>
        <w:rPr>
          <w:rFonts w:cs="David" w:hint="cs"/>
        </w:rPr>
        <w:t xml:space="preserve"> </w:t>
      </w:r>
      <w:r>
        <w:rPr>
          <w:rFonts w:cs="Calibri" w:hint="cs"/>
          <w:rtl/>
        </w:rPr>
        <w:t>כלכלית</w:t>
      </w:r>
      <w:r>
        <w:rPr>
          <w:rFonts w:cs="David" w:hint="cs"/>
        </w:rPr>
        <w:t xml:space="preserve"> </w:t>
      </w:r>
      <w:r>
        <w:rPr>
          <w:rFonts w:cs="Calibri" w:hint="cs"/>
          <w:rtl/>
        </w:rPr>
        <w:t>הוגנת</w:t>
      </w:r>
    </w:p>
    <w:p w:rsidR="005A4A94" w:rsidRDefault="005A4A94" w:rsidP="00C770CA">
      <w:pPr>
        <w:bidi/>
        <w:spacing w:after="200" w:line="360" w:lineRule="auto"/>
        <w:ind w:left="360"/>
        <w:jc w:val="both"/>
        <w:rPr>
          <w:rFonts w:cs="David"/>
          <w:rtl/>
        </w:rPr>
      </w:pPr>
      <w:r>
        <w:rPr>
          <w:rFonts w:cs="David"/>
          <w:rtl/>
        </w:rPr>
        <w:t>אדוני הנכבד</w:t>
      </w:r>
      <w:r w:rsidRPr="005B28FC">
        <w:rPr>
          <w:rFonts w:cs="David"/>
          <w:rtl/>
        </w:rPr>
        <w:t>,</w:t>
      </w:r>
    </w:p>
    <w:p w:rsidR="005A4A94" w:rsidRPr="00241A59" w:rsidRDefault="005A4A94" w:rsidP="005A4A94">
      <w:pPr>
        <w:bidi/>
        <w:spacing w:after="200" w:line="360" w:lineRule="auto"/>
        <w:ind w:left="360"/>
        <w:jc w:val="both"/>
        <w:rPr>
          <w:rFonts w:cs="David"/>
          <w:b/>
          <w:bCs/>
          <w:u w:val="single"/>
          <w:rtl/>
        </w:rPr>
      </w:pPr>
      <w:r w:rsidRPr="005179B6">
        <w:rPr>
          <w:rFonts w:cs="David" w:hint="cs"/>
          <w:rtl/>
        </w:rPr>
        <w:t>הנדון:</w:t>
      </w:r>
      <w:r>
        <w:rPr>
          <w:rFonts w:cs="David" w:hint="cs"/>
          <w:b/>
          <w:bCs/>
          <w:u w:val="single"/>
          <w:rtl/>
        </w:rPr>
        <w:t xml:space="preserve"> </w:t>
      </w:r>
      <w:r w:rsidRPr="00241A59">
        <w:rPr>
          <w:rFonts w:cs="David" w:hint="cs"/>
          <w:b/>
          <w:bCs/>
          <w:u w:val="single"/>
          <w:rtl/>
        </w:rPr>
        <w:t>החלטה חיובית</w:t>
      </w:r>
      <w:r>
        <w:rPr>
          <w:rFonts w:cs="David" w:hint="cs"/>
          <w:b/>
          <w:bCs/>
          <w:u w:val="single"/>
          <w:rtl/>
        </w:rPr>
        <w:t xml:space="preserve"> בבקשה מספר "</w:t>
      </w:r>
      <w:r>
        <w:rPr>
          <w:rFonts w:cs="David" w:hint="cs"/>
          <w:b/>
          <w:bCs/>
          <w:u w:val="single"/>
        </w:rPr>
        <w:t>3022-19-0020</w:t>
      </w:r>
      <w:r>
        <w:rPr>
          <w:rFonts w:cs="David" w:hint="cs"/>
          <w:b/>
          <w:bCs/>
          <w:u w:val="single"/>
          <w:rtl/>
        </w:rPr>
        <w:t>"</w:t>
      </w:r>
    </w:p>
    <w:p w:rsidR="005A4A94" w:rsidRPr="00241A59" w:rsidRDefault="005A4A94" w:rsidP="005A4A94">
      <w:pPr>
        <w:numPr>
          <w:ilvl w:val="0"/>
          <w:numId w:val="1"/>
        </w:numPr>
        <w:bidi/>
        <w:spacing w:after="200" w:line="360" w:lineRule="auto"/>
        <w:jc w:val="both"/>
        <w:rPr>
          <w:rFonts w:cs="David"/>
        </w:rPr>
      </w:pPr>
      <w:r w:rsidRPr="00241A59">
        <w:rPr>
          <w:rFonts w:cs="David" w:hint="cs"/>
          <w:rtl/>
        </w:rPr>
        <w:t xml:space="preserve">לאחר שבחנו את בקשתך מיום </w:t>
      </w:r>
      <w:r>
        <w:rPr>
          <w:rFonts w:cs="David" w:hint="cs"/>
        </w:rPr>
        <w:t>18/11/2019</w:t>
      </w:r>
      <w:r w:rsidRPr="00241A59">
        <w:rPr>
          <w:rFonts w:cs="David" w:hint="cs"/>
          <w:rtl/>
        </w:rPr>
        <w:t xml:space="preserve"> לקבלת המידע בעניין </w:t>
      </w:r>
      <w:r w:rsidRPr="00672E49">
        <w:rPr>
          <w:rFonts w:cs="David" w:hint="cs"/>
          <w:rtl/>
        </w:rPr>
        <w:t>"</w:t>
      </w:r>
      <w:r>
        <w:rPr>
          <w:rFonts w:cs="Calibri" w:hint="cs"/>
          <w:rtl/>
        </w:rPr>
        <w:t>נהלים</w:t>
      </w:r>
      <w:r>
        <w:rPr>
          <w:rFonts w:cs="David" w:hint="cs"/>
        </w:rPr>
        <w:t xml:space="preserve"> </w:t>
      </w:r>
      <w:r>
        <w:rPr>
          <w:rFonts w:cs="Calibri" w:hint="cs"/>
          <w:rtl/>
        </w:rPr>
        <w:t>לעניין</w:t>
      </w:r>
      <w:r>
        <w:rPr>
          <w:rFonts w:cs="David" w:hint="cs"/>
        </w:rPr>
        <w:t xml:space="preserve"> </w:t>
      </w:r>
      <w:r>
        <w:rPr>
          <w:rFonts w:cs="Calibri" w:hint="cs"/>
          <w:rtl/>
        </w:rPr>
        <w:t>פרטיות</w:t>
      </w:r>
      <w:r>
        <w:rPr>
          <w:rFonts w:cs="David" w:hint="cs"/>
        </w:rPr>
        <w:t xml:space="preserve"> </w:t>
      </w:r>
      <w:r>
        <w:rPr>
          <w:rFonts w:cs="Calibri" w:hint="cs"/>
          <w:rtl/>
        </w:rPr>
        <w:t>העברת</w:t>
      </w:r>
      <w:r>
        <w:rPr>
          <w:rFonts w:cs="David" w:hint="cs"/>
        </w:rPr>
        <w:t xml:space="preserve"> </w:t>
      </w:r>
      <w:r>
        <w:rPr>
          <w:rFonts w:cs="Calibri" w:hint="cs"/>
          <w:rtl/>
        </w:rPr>
        <w:t>מידע</w:t>
      </w:r>
      <w:r>
        <w:rPr>
          <w:rFonts w:cs="David" w:hint="cs"/>
        </w:rPr>
        <w:t xml:space="preserve"> </w:t>
      </w:r>
      <w:r>
        <w:rPr>
          <w:rFonts w:cs="Calibri" w:hint="cs"/>
          <w:rtl/>
        </w:rPr>
        <w:t>ונתונים</w:t>
      </w:r>
      <w:r w:rsidRPr="00672E49">
        <w:rPr>
          <w:rFonts w:cs="David" w:hint="cs"/>
          <w:rtl/>
        </w:rPr>
        <w:t>"</w:t>
      </w:r>
      <w:r w:rsidRPr="00A03209">
        <w:rPr>
          <w:rFonts w:cs="David" w:hint="cs"/>
          <w:rtl/>
        </w:rPr>
        <w:t>,</w:t>
      </w:r>
      <w:r w:rsidRPr="00241A59">
        <w:rPr>
          <w:rFonts w:cs="David" w:hint="cs"/>
          <w:rtl/>
        </w:rPr>
        <w:t xml:space="preserve"> החלטנו לקבלה ולמסור לך המידע המבוקש.</w:t>
      </w:r>
    </w:p>
    <w:p w:rsidR="005A4A94" w:rsidRDefault="00AE322F" w:rsidP="005A4A94">
      <w:pPr>
        <w:numPr>
          <w:ilvl w:val="0"/>
          <w:numId w:val="1"/>
        </w:numPr>
        <w:bidi/>
        <w:spacing w:after="200" w:line="360" w:lineRule="auto"/>
        <w:jc w:val="both"/>
        <w:rPr>
          <w:rFonts w:cs="David"/>
        </w:rPr>
      </w:pPr>
      <w:r>
        <w:rPr>
          <w:rFonts w:cs="David" w:hint="cs"/>
          <w:rtl/>
        </w:rPr>
        <w:t xml:space="preserve">בהתאם להנחיות של מחלקת ייעוץ וחקיקה במשרד המשפטים באמצעות היחידה הממשלתית לחוק חופש המידע, </w:t>
      </w:r>
      <w:bookmarkStart w:id="0" w:name="_GoBack"/>
      <w:bookmarkEnd w:id="0"/>
      <w:r w:rsidR="005A4A94" w:rsidRPr="00241A59">
        <w:rPr>
          <w:rFonts w:cs="David" w:hint="cs"/>
          <w:rtl/>
        </w:rPr>
        <w:t>אנו מצרפים בזאת את המידע שהתבקש על ידך, כדלקמן:</w:t>
      </w:r>
    </w:p>
    <w:p w:rsidR="00C770CA" w:rsidRPr="00241A59" w:rsidRDefault="00C770CA" w:rsidP="00C770CA">
      <w:pPr>
        <w:bidi/>
        <w:spacing w:after="200" w:line="360" w:lineRule="auto"/>
        <w:ind w:left="1440"/>
        <w:jc w:val="both"/>
        <w:rPr>
          <w:rFonts w:cs="David"/>
        </w:rPr>
      </w:pPr>
      <w:r>
        <w:rPr>
          <w:rFonts w:cs="David" w:hint="cs"/>
          <w:rtl/>
        </w:rPr>
        <w:t>להלן רשימת הנהלים בהם המשרד משתמש בעניין מדיניות הפרטיות בכל הנוגע לשמירה, טיפול, אחסון, הפצה, הנגשה של מידע ונתונים. בנוגע לעובדי המשרד, מקבלי שירות, ספקים, מפוקחים וכל גורם אחר שלגביו הנהלת בתי הדין הרבניים מחזיקה במידע.</w:t>
      </w:r>
    </w:p>
    <w:p w:rsidR="0076626B" w:rsidRDefault="0076626B" w:rsidP="0076626B">
      <w:pPr>
        <w:numPr>
          <w:ilvl w:val="0"/>
          <w:numId w:val="2"/>
        </w:numPr>
        <w:bidi/>
        <w:spacing w:after="200" w:line="240" w:lineRule="auto"/>
        <w:ind w:left="1797" w:hanging="357"/>
        <w:jc w:val="both"/>
        <w:rPr>
          <w:rFonts w:cs="David"/>
          <w:rtl/>
        </w:rPr>
        <w:sectPr w:rsidR="0076626B" w:rsidSect="002D5B82">
          <w:headerReference w:type="default" r:id="rId7"/>
          <w:footerReference w:type="default" r:id="rId8"/>
          <w:pgSz w:w="11906" w:h="16838"/>
          <w:pgMar w:top="1440" w:right="1800" w:bottom="1440" w:left="1800" w:header="708" w:footer="708" w:gutter="0"/>
          <w:cols w:space="708"/>
          <w:bidi/>
          <w:rtlGutter/>
          <w:docGrid w:linePitch="360"/>
        </w:sectPr>
      </w:pPr>
    </w:p>
    <w:p w:rsidR="005A4A94" w:rsidRDefault="0076626B" w:rsidP="0076626B">
      <w:pPr>
        <w:numPr>
          <w:ilvl w:val="0"/>
          <w:numId w:val="2"/>
        </w:numPr>
        <w:bidi/>
        <w:spacing w:after="200" w:line="240" w:lineRule="auto"/>
        <w:ind w:left="1797" w:hanging="357"/>
        <w:jc w:val="both"/>
        <w:rPr>
          <w:rFonts w:cs="David"/>
        </w:rPr>
      </w:pPr>
      <w:r>
        <w:rPr>
          <w:rFonts w:cs="David" w:hint="cs"/>
          <w:rtl/>
        </w:rPr>
        <w:t>הסכם משתמש</w:t>
      </w:r>
    </w:p>
    <w:p w:rsidR="0076626B" w:rsidRDefault="0076626B" w:rsidP="0076626B">
      <w:pPr>
        <w:numPr>
          <w:ilvl w:val="0"/>
          <w:numId w:val="2"/>
        </w:numPr>
        <w:bidi/>
        <w:spacing w:after="200" w:line="240" w:lineRule="auto"/>
        <w:ind w:left="1797" w:hanging="357"/>
        <w:jc w:val="both"/>
        <w:rPr>
          <w:rFonts w:cs="David"/>
        </w:rPr>
      </w:pPr>
      <w:r>
        <w:rPr>
          <w:rFonts w:cs="David" w:hint="cs"/>
          <w:rtl/>
        </w:rPr>
        <w:t>מדריך לניהול אבטחת מידע</w:t>
      </w:r>
    </w:p>
    <w:p w:rsidR="0076626B" w:rsidRDefault="0076626B" w:rsidP="0076626B">
      <w:pPr>
        <w:numPr>
          <w:ilvl w:val="0"/>
          <w:numId w:val="2"/>
        </w:numPr>
        <w:bidi/>
        <w:spacing w:after="200" w:line="240" w:lineRule="auto"/>
        <w:ind w:left="1797" w:hanging="357"/>
        <w:jc w:val="both"/>
        <w:rPr>
          <w:rFonts w:cs="David"/>
        </w:rPr>
      </w:pPr>
      <w:r>
        <w:rPr>
          <w:rFonts w:cs="David" w:hint="cs"/>
          <w:rtl/>
        </w:rPr>
        <w:t>אבטחת מידע בהמשכיות עסקית</w:t>
      </w:r>
    </w:p>
    <w:p w:rsidR="0076626B" w:rsidRDefault="0076626B" w:rsidP="0076626B">
      <w:pPr>
        <w:numPr>
          <w:ilvl w:val="0"/>
          <w:numId w:val="2"/>
        </w:numPr>
        <w:bidi/>
        <w:spacing w:after="200" w:line="240" w:lineRule="auto"/>
        <w:ind w:left="1797" w:hanging="357"/>
        <w:jc w:val="both"/>
        <w:rPr>
          <w:rFonts w:cs="David"/>
        </w:rPr>
      </w:pPr>
      <w:r>
        <w:rPr>
          <w:rFonts w:cs="David" w:hint="cs"/>
          <w:rtl/>
        </w:rPr>
        <w:t>איסוף ראיות</w:t>
      </w:r>
    </w:p>
    <w:p w:rsidR="0076626B" w:rsidRDefault="0076626B" w:rsidP="0076626B">
      <w:pPr>
        <w:numPr>
          <w:ilvl w:val="0"/>
          <w:numId w:val="2"/>
        </w:numPr>
        <w:bidi/>
        <w:spacing w:after="200" w:line="240" w:lineRule="auto"/>
        <w:ind w:left="1797" w:hanging="357"/>
        <w:jc w:val="both"/>
        <w:rPr>
          <w:rFonts w:cs="David"/>
        </w:rPr>
      </w:pPr>
      <w:r>
        <w:rPr>
          <w:rFonts w:cs="David" w:hint="cs"/>
          <w:rtl/>
        </w:rPr>
        <w:t>תגובה לאירועי אבטחת מידע</w:t>
      </w:r>
    </w:p>
    <w:p w:rsidR="0076626B" w:rsidRDefault="0076626B" w:rsidP="0076626B">
      <w:pPr>
        <w:numPr>
          <w:ilvl w:val="0"/>
          <w:numId w:val="2"/>
        </w:numPr>
        <w:bidi/>
        <w:spacing w:after="200" w:line="240" w:lineRule="auto"/>
        <w:ind w:left="1797" w:hanging="357"/>
        <w:jc w:val="both"/>
        <w:rPr>
          <w:rFonts w:cs="David"/>
        </w:rPr>
      </w:pPr>
      <w:r>
        <w:rPr>
          <w:rFonts w:cs="David" w:hint="cs"/>
          <w:rtl/>
        </w:rPr>
        <w:t>ניהול שינויים אבטחת מידע</w:t>
      </w:r>
    </w:p>
    <w:p w:rsidR="0076626B" w:rsidRDefault="0076626B" w:rsidP="0076626B">
      <w:pPr>
        <w:numPr>
          <w:ilvl w:val="0"/>
          <w:numId w:val="2"/>
        </w:numPr>
        <w:bidi/>
        <w:spacing w:after="200" w:line="240" w:lineRule="auto"/>
        <w:ind w:left="1797" w:hanging="357"/>
        <w:jc w:val="both"/>
        <w:rPr>
          <w:rFonts w:cs="David"/>
        </w:rPr>
      </w:pPr>
      <w:r>
        <w:rPr>
          <w:rFonts w:cs="David" w:hint="cs"/>
          <w:rtl/>
        </w:rPr>
        <w:t>גיבוי מערכת</w:t>
      </w:r>
    </w:p>
    <w:p w:rsidR="0076626B" w:rsidRPr="0076626B" w:rsidRDefault="0076626B" w:rsidP="0076626B">
      <w:pPr>
        <w:numPr>
          <w:ilvl w:val="0"/>
          <w:numId w:val="2"/>
        </w:numPr>
        <w:bidi/>
        <w:spacing w:after="200" w:line="240" w:lineRule="auto"/>
        <w:ind w:left="1797" w:hanging="357"/>
        <w:jc w:val="both"/>
        <w:rPr>
          <w:rFonts w:cs="David"/>
        </w:rPr>
      </w:pPr>
      <w:r>
        <w:rPr>
          <w:rFonts w:cs="David" w:hint="cs"/>
          <w:rtl/>
        </w:rPr>
        <w:t>קוד זדוני</w:t>
      </w:r>
    </w:p>
    <w:p w:rsidR="0076626B" w:rsidRDefault="0076626B" w:rsidP="0076626B">
      <w:pPr>
        <w:numPr>
          <w:ilvl w:val="0"/>
          <w:numId w:val="2"/>
        </w:numPr>
        <w:bidi/>
        <w:spacing w:after="200" w:line="240" w:lineRule="auto"/>
        <w:ind w:left="1797" w:hanging="357"/>
        <w:jc w:val="both"/>
        <w:rPr>
          <w:rFonts w:cs="David"/>
        </w:rPr>
      </w:pPr>
      <w:r>
        <w:rPr>
          <w:rFonts w:cs="David" w:hint="cs"/>
          <w:rtl/>
        </w:rPr>
        <w:t>מדיניות בקרת גישה</w:t>
      </w:r>
    </w:p>
    <w:p w:rsidR="0076626B" w:rsidRDefault="0076626B" w:rsidP="0076626B">
      <w:pPr>
        <w:numPr>
          <w:ilvl w:val="0"/>
          <w:numId w:val="2"/>
        </w:numPr>
        <w:bidi/>
        <w:spacing w:after="200" w:line="240" w:lineRule="auto"/>
        <w:ind w:left="1797" w:hanging="357"/>
        <w:jc w:val="both"/>
        <w:rPr>
          <w:rFonts w:cs="David"/>
        </w:rPr>
      </w:pPr>
      <w:r>
        <w:rPr>
          <w:rFonts w:cs="David" w:hint="cs"/>
          <w:rtl/>
        </w:rPr>
        <w:t>אבטחת משאבי אנוש</w:t>
      </w:r>
    </w:p>
    <w:p w:rsidR="0076626B" w:rsidRDefault="0076626B" w:rsidP="0076626B">
      <w:pPr>
        <w:numPr>
          <w:ilvl w:val="0"/>
          <w:numId w:val="2"/>
        </w:numPr>
        <w:bidi/>
        <w:spacing w:after="200" w:line="240" w:lineRule="auto"/>
        <w:ind w:left="1797" w:hanging="357"/>
        <w:jc w:val="both"/>
        <w:rPr>
          <w:rFonts w:cs="David"/>
        </w:rPr>
      </w:pPr>
      <w:r>
        <w:rPr>
          <w:rFonts w:cs="David" w:hint="cs"/>
          <w:rtl/>
        </w:rPr>
        <w:t>תכנון וקבלת מערכות</w:t>
      </w:r>
    </w:p>
    <w:p w:rsidR="0076626B" w:rsidRDefault="0076626B" w:rsidP="0076626B">
      <w:pPr>
        <w:numPr>
          <w:ilvl w:val="0"/>
          <w:numId w:val="2"/>
        </w:numPr>
        <w:bidi/>
        <w:spacing w:after="200" w:line="240" w:lineRule="auto"/>
        <w:ind w:left="1797" w:hanging="357"/>
        <w:jc w:val="both"/>
        <w:rPr>
          <w:rFonts w:cs="David"/>
        </w:rPr>
      </w:pPr>
      <w:r>
        <w:rPr>
          <w:rFonts w:cs="David" w:hint="cs"/>
          <w:rtl/>
        </w:rPr>
        <w:t>סיווג מידע</w:t>
      </w:r>
    </w:p>
    <w:p w:rsidR="0076626B" w:rsidRDefault="0076626B" w:rsidP="0076626B">
      <w:pPr>
        <w:numPr>
          <w:ilvl w:val="0"/>
          <w:numId w:val="2"/>
        </w:numPr>
        <w:bidi/>
        <w:spacing w:after="200" w:line="240" w:lineRule="auto"/>
        <w:ind w:left="1797" w:hanging="357"/>
        <w:jc w:val="both"/>
        <w:rPr>
          <w:rFonts w:cs="David"/>
        </w:rPr>
      </w:pPr>
      <w:r>
        <w:rPr>
          <w:rFonts w:cs="David" w:hint="cs"/>
          <w:rtl/>
        </w:rPr>
        <w:t>הערכת סיכונים</w:t>
      </w:r>
    </w:p>
    <w:p w:rsidR="0076626B" w:rsidRDefault="0076626B" w:rsidP="0076626B">
      <w:pPr>
        <w:numPr>
          <w:ilvl w:val="0"/>
          <w:numId w:val="2"/>
        </w:numPr>
        <w:bidi/>
        <w:spacing w:after="200" w:line="240" w:lineRule="auto"/>
        <w:ind w:left="1797" w:hanging="357"/>
        <w:jc w:val="both"/>
        <w:rPr>
          <w:rFonts w:cs="David"/>
        </w:rPr>
      </w:pPr>
      <w:r>
        <w:rPr>
          <w:rFonts w:cs="David" w:hint="cs"/>
          <w:rtl/>
        </w:rPr>
        <w:t>גורמים חיצוניים</w:t>
      </w:r>
    </w:p>
    <w:p w:rsidR="0076626B" w:rsidRDefault="0076626B" w:rsidP="0076626B">
      <w:pPr>
        <w:numPr>
          <w:ilvl w:val="0"/>
          <w:numId w:val="2"/>
        </w:numPr>
        <w:bidi/>
        <w:spacing w:after="200" w:line="240" w:lineRule="auto"/>
        <w:ind w:left="1797" w:hanging="357"/>
        <w:jc w:val="both"/>
        <w:rPr>
          <w:rFonts w:cs="David"/>
        </w:rPr>
      </w:pPr>
      <w:r>
        <w:rPr>
          <w:rFonts w:cs="David" w:hint="cs"/>
          <w:rtl/>
        </w:rPr>
        <w:t>מסגרת לניהול סיכונים</w:t>
      </w:r>
    </w:p>
    <w:p w:rsidR="0076626B" w:rsidRPr="00241A59" w:rsidRDefault="0076626B" w:rsidP="0076626B">
      <w:pPr>
        <w:numPr>
          <w:ilvl w:val="0"/>
          <w:numId w:val="2"/>
        </w:numPr>
        <w:bidi/>
        <w:spacing w:after="200" w:line="240" w:lineRule="auto"/>
        <w:ind w:left="1797" w:hanging="357"/>
        <w:jc w:val="both"/>
        <w:rPr>
          <w:rFonts w:cs="David"/>
        </w:rPr>
      </w:pPr>
      <w:r>
        <w:rPr>
          <w:rFonts w:cs="David" w:hint="cs"/>
          <w:rtl/>
        </w:rPr>
        <w:t>מדיניות אבטחת מידע</w:t>
      </w:r>
    </w:p>
    <w:p w:rsidR="005A4A94" w:rsidRDefault="005A4A94" w:rsidP="005A4A94">
      <w:pPr>
        <w:bidi/>
      </w:pPr>
    </w:p>
    <w:p w:rsidR="0076626B" w:rsidRDefault="0076626B" w:rsidP="005A4A94">
      <w:pPr>
        <w:bidi/>
        <w:rPr>
          <w:rtl/>
        </w:rPr>
        <w:sectPr w:rsidR="0076626B" w:rsidSect="0076626B">
          <w:type w:val="continuous"/>
          <w:pgSz w:w="11906" w:h="16838"/>
          <w:pgMar w:top="1440" w:right="1800" w:bottom="1440" w:left="1800" w:header="708" w:footer="708" w:gutter="0"/>
          <w:cols w:num="2" w:space="708"/>
          <w:bidi/>
          <w:rtlGutter/>
          <w:docGrid w:linePitch="360"/>
        </w:sectPr>
      </w:pPr>
    </w:p>
    <w:p w:rsidR="005A4A94" w:rsidRDefault="0076626B" w:rsidP="005A4A94">
      <w:pPr>
        <w:bidi/>
        <w:rPr>
          <w:rtl/>
        </w:rPr>
      </w:pPr>
      <w:r>
        <w:rPr>
          <w:rFonts w:hint="cs"/>
          <w:rtl/>
        </w:rPr>
        <w:lastRenderedPageBreak/>
        <w:t xml:space="preserve">הנהלים עברו תיקוף תקן </w:t>
      </w:r>
      <w:r>
        <w:rPr>
          <w:rFonts w:hint="cs"/>
        </w:rPr>
        <w:t xml:space="preserve">ISO27001 </w:t>
      </w:r>
      <w:r>
        <w:rPr>
          <w:rFonts w:hint="cs"/>
          <w:rtl/>
        </w:rPr>
        <w:t xml:space="preserve"> בסוף 2017 ועוברים בקרה מידי שנה.</w:t>
      </w:r>
    </w:p>
    <w:p w:rsidR="0076626B" w:rsidRDefault="0076626B" w:rsidP="0076626B">
      <w:pPr>
        <w:bidi/>
        <w:spacing w:after="200" w:line="360" w:lineRule="auto"/>
        <w:ind w:left="1440"/>
        <w:jc w:val="both"/>
        <w:rPr>
          <w:rFonts w:cs="David"/>
        </w:rPr>
      </w:pPr>
    </w:p>
    <w:p w:rsidR="0076626B" w:rsidRDefault="0076626B" w:rsidP="0076626B">
      <w:pPr>
        <w:numPr>
          <w:ilvl w:val="0"/>
          <w:numId w:val="1"/>
        </w:numPr>
        <w:bidi/>
        <w:spacing w:after="200" w:line="360" w:lineRule="auto"/>
        <w:jc w:val="both"/>
        <w:rPr>
          <w:rFonts w:cs="David"/>
        </w:rPr>
      </w:pPr>
      <w:r>
        <w:rPr>
          <w:rFonts w:cs="David" w:hint="cs"/>
          <w:rtl/>
        </w:rPr>
        <w:t>מאגרי מידע בבתי הדין הרבניים:</w:t>
      </w:r>
    </w:p>
    <w:p w:rsidR="0076626B" w:rsidRDefault="0076626B" w:rsidP="0076626B">
      <w:pPr>
        <w:bidi/>
        <w:spacing w:after="200" w:line="360" w:lineRule="auto"/>
        <w:ind w:left="1440"/>
        <w:jc w:val="both"/>
        <w:rPr>
          <w:rFonts w:cs="David"/>
          <w:rtl/>
        </w:rPr>
      </w:pPr>
      <w:r w:rsidRPr="007C7F11">
        <w:rPr>
          <w:rFonts w:cs="David" w:hint="cs"/>
          <w:b/>
          <w:bCs/>
          <w:u w:val="single"/>
          <w:rtl/>
        </w:rPr>
        <w:t>שם המאגר</w:t>
      </w:r>
      <w:r>
        <w:rPr>
          <w:rFonts w:cs="David" w:hint="cs"/>
          <w:rtl/>
        </w:rPr>
        <w:t xml:space="preserve">: </w:t>
      </w:r>
      <w:r w:rsidRPr="0076626B">
        <w:rPr>
          <w:rFonts w:cs="David" w:hint="eastAsia"/>
          <w:rtl/>
        </w:rPr>
        <w:t>מגישי</w:t>
      </w:r>
      <w:r w:rsidRPr="0076626B">
        <w:rPr>
          <w:rFonts w:cs="David"/>
          <w:rtl/>
        </w:rPr>
        <w:t xml:space="preserve"> </w:t>
      </w:r>
      <w:r w:rsidRPr="0076626B">
        <w:rPr>
          <w:rFonts w:cs="David" w:hint="eastAsia"/>
          <w:rtl/>
        </w:rPr>
        <w:t>הבקשה</w:t>
      </w:r>
      <w:r w:rsidRPr="0076626B">
        <w:rPr>
          <w:rFonts w:cs="David"/>
          <w:rtl/>
        </w:rPr>
        <w:t xml:space="preserve"> </w:t>
      </w:r>
      <w:r w:rsidRPr="0076626B">
        <w:rPr>
          <w:rFonts w:cs="David" w:hint="eastAsia"/>
          <w:rtl/>
        </w:rPr>
        <w:t>לשירות</w:t>
      </w:r>
      <w:r w:rsidRPr="0076626B">
        <w:rPr>
          <w:rFonts w:cs="David"/>
          <w:rtl/>
        </w:rPr>
        <w:t xml:space="preserve"> </w:t>
      </w:r>
      <w:r w:rsidRPr="0076626B">
        <w:rPr>
          <w:rFonts w:cs="David" w:hint="eastAsia"/>
          <w:rtl/>
        </w:rPr>
        <w:t>במערכת</w:t>
      </w:r>
      <w:r w:rsidRPr="0076626B">
        <w:rPr>
          <w:rFonts w:cs="David"/>
          <w:rtl/>
        </w:rPr>
        <w:t xml:space="preserve"> </w:t>
      </w:r>
      <w:r w:rsidRPr="0076626B">
        <w:rPr>
          <w:rFonts w:cs="David" w:hint="eastAsia"/>
          <w:rtl/>
        </w:rPr>
        <w:t>בית</w:t>
      </w:r>
      <w:r w:rsidRPr="0076626B">
        <w:rPr>
          <w:rFonts w:cs="David"/>
          <w:rtl/>
        </w:rPr>
        <w:t xml:space="preserve"> </w:t>
      </w:r>
      <w:r w:rsidRPr="0076626B">
        <w:rPr>
          <w:rFonts w:cs="David" w:hint="eastAsia"/>
          <w:rtl/>
        </w:rPr>
        <w:t>הדין</w:t>
      </w:r>
      <w:r w:rsidRPr="0076626B">
        <w:rPr>
          <w:rFonts w:cs="David"/>
          <w:rtl/>
        </w:rPr>
        <w:t xml:space="preserve"> </w:t>
      </w:r>
      <w:r w:rsidRPr="0076626B">
        <w:rPr>
          <w:rFonts w:cs="David" w:hint="eastAsia"/>
          <w:rtl/>
        </w:rPr>
        <w:t>וכל</w:t>
      </w:r>
      <w:r w:rsidRPr="0076626B">
        <w:rPr>
          <w:rFonts w:cs="David"/>
          <w:rtl/>
        </w:rPr>
        <w:t xml:space="preserve"> </w:t>
      </w:r>
      <w:r w:rsidRPr="0076626B">
        <w:rPr>
          <w:rFonts w:cs="David" w:hint="eastAsia"/>
          <w:rtl/>
        </w:rPr>
        <w:t>ההחלטות</w:t>
      </w:r>
      <w:r w:rsidRPr="0076626B">
        <w:rPr>
          <w:rFonts w:cs="David"/>
          <w:rtl/>
        </w:rPr>
        <w:t xml:space="preserve"> </w:t>
      </w:r>
      <w:r w:rsidRPr="0076626B">
        <w:rPr>
          <w:rFonts w:cs="David" w:hint="eastAsia"/>
          <w:rtl/>
        </w:rPr>
        <w:t>והפרוטוקולים</w:t>
      </w:r>
      <w:r w:rsidRPr="0076626B">
        <w:rPr>
          <w:rFonts w:cs="David"/>
          <w:rtl/>
        </w:rPr>
        <w:t xml:space="preserve"> </w:t>
      </w:r>
      <w:r w:rsidRPr="0076626B">
        <w:rPr>
          <w:rFonts w:cs="David" w:hint="eastAsia"/>
          <w:rtl/>
        </w:rPr>
        <w:t>שנידונו</w:t>
      </w:r>
      <w:r w:rsidRPr="0076626B">
        <w:rPr>
          <w:rFonts w:cs="David"/>
          <w:rtl/>
        </w:rPr>
        <w:t xml:space="preserve"> </w:t>
      </w:r>
      <w:r w:rsidRPr="0076626B">
        <w:rPr>
          <w:rFonts w:cs="David" w:hint="eastAsia"/>
          <w:rtl/>
        </w:rPr>
        <w:t>בעקבות</w:t>
      </w:r>
      <w:r w:rsidRPr="0076626B">
        <w:rPr>
          <w:rFonts w:cs="David"/>
          <w:rtl/>
        </w:rPr>
        <w:t xml:space="preserve"> </w:t>
      </w:r>
      <w:r w:rsidRPr="0076626B">
        <w:rPr>
          <w:rFonts w:cs="David" w:hint="eastAsia"/>
          <w:rtl/>
        </w:rPr>
        <w:t>הבקשה</w:t>
      </w:r>
      <w:r w:rsidR="007C7F11">
        <w:rPr>
          <w:rFonts w:cs="David" w:hint="cs"/>
          <w:rtl/>
        </w:rPr>
        <w:t>.</w:t>
      </w:r>
    </w:p>
    <w:p w:rsidR="007C7F11" w:rsidRDefault="007C7F11" w:rsidP="007C7F11">
      <w:pPr>
        <w:bidi/>
        <w:spacing w:after="200" w:line="360" w:lineRule="auto"/>
        <w:ind w:left="1440"/>
        <w:jc w:val="both"/>
        <w:rPr>
          <w:rFonts w:cs="David"/>
          <w:rtl/>
        </w:rPr>
      </w:pPr>
      <w:r>
        <w:rPr>
          <w:rFonts w:cs="David" w:hint="cs"/>
          <w:b/>
          <w:bCs/>
          <w:u w:val="single"/>
          <w:rtl/>
        </w:rPr>
        <w:t>מספר מאגר</w:t>
      </w:r>
      <w:r w:rsidRPr="007C7F11">
        <w:rPr>
          <w:rFonts w:cs="David" w:hint="cs"/>
          <w:rtl/>
        </w:rPr>
        <w:t>:</w:t>
      </w:r>
      <w:r>
        <w:rPr>
          <w:rFonts w:cs="David" w:hint="cs"/>
          <w:rtl/>
        </w:rPr>
        <w:t xml:space="preserve"> 990037228</w:t>
      </w:r>
    </w:p>
    <w:p w:rsidR="007C7F11" w:rsidRPr="0076626B" w:rsidRDefault="007C7F11" w:rsidP="007C7F11">
      <w:pPr>
        <w:bidi/>
        <w:spacing w:after="200" w:line="360" w:lineRule="auto"/>
        <w:ind w:left="1440"/>
        <w:jc w:val="both"/>
        <w:rPr>
          <w:rFonts w:cs="David"/>
          <w:rtl/>
        </w:rPr>
      </w:pPr>
      <w:r>
        <w:rPr>
          <w:rFonts w:cs="David" w:hint="cs"/>
          <w:b/>
          <w:bCs/>
          <w:u w:val="single"/>
          <w:rtl/>
        </w:rPr>
        <w:t>תאריך רישום</w:t>
      </w:r>
      <w:r w:rsidRPr="007C7F11">
        <w:rPr>
          <w:rFonts w:cs="David" w:hint="cs"/>
          <w:rtl/>
        </w:rPr>
        <w:t>:</w:t>
      </w:r>
      <w:r>
        <w:rPr>
          <w:rFonts w:cs="David" w:hint="cs"/>
          <w:rtl/>
        </w:rPr>
        <w:t xml:space="preserve"> 05.01.2005</w:t>
      </w:r>
    </w:p>
    <w:p w:rsidR="0076626B" w:rsidRDefault="0076626B" w:rsidP="0076626B">
      <w:pPr>
        <w:bidi/>
        <w:rPr>
          <w:rtl/>
        </w:rPr>
      </w:pPr>
    </w:p>
    <w:p w:rsidR="0076626B" w:rsidRDefault="0076626B" w:rsidP="005A4A94">
      <w:pPr>
        <w:bidi/>
        <w:jc w:val="center"/>
        <w:rPr>
          <w:rFonts w:cs="David"/>
          <w:rtl/>
        </w:rPr>
      </w:pPr>
    </w:p>
    <w:p w:rsidR="0076626B" w:rsidRDefault="0076626B" w:rsidP="0076626B">
      <w:pPr>
        <w:bidi/>
        <w:jc w:val="center"/>
        <w:rPr>
          <w:rFonts w:cs="David"/>
          <w:rtl/>
        </w:rPr>
      </w:pPr>
    </w:p>
    <w:p w:rsidR="005A4A94" w:rsidRPr="00D17399" w:rsidRDefault="005A4A94" w:rsidP="0076626B">
      <w:pPr>
        <w:bidi/>
        <w:jc w:val="center"/>
        <w:rPr>
          <w:rFonts w:cs="David"/>
          <w:rtl/>
        </w:rPr>
      </w:pPr>
      <w:r>
        <w:rPr>
          <w:rFonts w:cs="David"/>
          <w:rtl/>
        </w:rPr>
        <w:t>בכבוד רב</w:t>
      </w:r>
      <w:r w:rsidRPr="00D17399">
        <w:rPr>
          <w:rFonts w:cs="David"/>
          <w:rtl/>
        </w:rPr>
        <w:t>,</w:t>
      </w:r>
    </w:p>
    <w:p w:rsidR="005A4A94" w:rsidRPr="00D17399" w:rsidRDefault="005A4A94" w:rsidP="005A4A94">
      <w:pPr>
        <w:bidi/>
        <w:jc w:val="center"/>
        <w:rPr>
          <w:rFonts w:cs="David"/>
          <w:rtl/>
        </w:rPr>
      </w:pPr>
      <w:r w:rsidRPr="00A03209">
        <w:rPr>
          <w:rFonts w:cs="Calibri" w:hint="cs"/>
          <w:rtl/>
        </w:rPr>
        <w:t>יעל</w:t>
      </w:r>
      <w:r w:rsidRPr="00A03209">
        <w:rPr>
          <w:rFonts w:cs="David" w:hint="cs"/>
        </w:rPr>
        <w:t xml:space="preserve"> </w:t>
      </w:r>
      <w:r w:rsidRPr="00A03209">
        <w:rPr>
          <w:rFonts w:cs="Calibri" w:hint="cs"/>
          <w:rtl/>
        </w:rPr>
        <w:t>ירמיהו</w:t>
      </w:r>
      <w:r w:rsidRPr="00D17399">
        <w:rPr>
          <w:rFonts w:cs="David" w:hint="cs"/>
          <w:rtl/>
        </w:rPr>
        <w:t xml:space="preserve"> </w:t>
      </w:r>
      <w:r w:rsidRPr="00D17399">
        <w:rPr>
          <w:rFonts w:cs="David"/>
          <w:rtl/>
        </w:rPr>
        <w:br/>
      </w:r>
      <w:r w:rsidRPr="00D17399">
        <w:rPr>
          <w:rFonts w:cs="David" w:hint="cs"/>
          <w:rtl/>
        </w:rPr>
        <w:t>הממונה על העמדת מידע לציבור</w:t>
      </w:r>
      <w:r w:rsidRPr="00D17399">
        <w:rPr>
          <w:rFonts w:cs="David"/>
          <w:rtl/>
        </w:rPr>
        <w:br/>
      </w:r>
      <w:r>
        <w:rPr>
          <w:rFonts w:cs="Calibri" w:hint="cs"/>
          <w:rtl/>
        </w:rPr>
        <w:t>הנהלת</w:t>
      </w:r>
      <w:r>
        <w:rPr>
          <w:rFonts w:cs="David" w:hint="cs"/>
        </w:rPr>
        <w:t xml:space="preserve"> </w:t>
      </w:r>
      <w:r>
        <w:rPr>
          <w:rFonts w:cs="Calibri" w:hint="cs"/>
          <w:rtl/>
        </w:rPr>
        <w:t>בתי</w:t>
      </w:r>
      <w:r>
        <w:rPr>
          <w:rFonts w:cs="David" w:hint="cs"/>
        </w:rPr>
        <w:t xml:space="preserve"> </w:t>
      </w:r>
      <w:r>
        <w:rPr>
          <w:rFonts w:cs="Calibri" w:hint="cs"/>
          <w:rtl/>
        </w:rPr>
        <w:t>הדין</w:t>
      </w:r>
      <w:r>
        <w:rPr>
          <w:rFonts w:cs="David" w:hint="cs"/>
        </w:rPr>
        <w:t xml:space="preserve"> </w:t>
      </w:r>
      <w:r>
        <w:rPr>
          <w:rFonts w:cs="Calibri" w:hint="cs"/>
          <w:rtl/>
        </w:rPr>
        <w:t>הרבניים</w:t>
      </w:r>
    </w:p>
    <w:p w:rsidR="005A4A94" w:rsidRDefault="005A4A94" w:rsidP="005A4A94">
      <w:pPr>
        <w:bidi/>
      </w:pPr>
    </w:p>
    <w:p w:rsidR="005A4A94" w:rsidRPr="00A03209" w:rsidRDefault="005A4A94" w:rsidP="005A4A94">
      <w:pPr>
        <w:bidi/>
        <w:rPr>
          <w:rtl/>
        </w:rPr>
      </w:pPr>
    </w:p>
    <w:p w:rsidR="0055490F" w:rsidRDefault="00AE322F" w:rsidP="005A4A94">
      <w:pPr>
        <w:bidi/>
      </w:pPr>
    </w:p>
    <w:sectPr w:rsidR="0055490F" w:rsidSect="0076626B">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E27" w:rsidRDefault="004E4E27" w:rsidP="005A4A94">
      <w:pPr>
        <w:spacing w:after="0" w:line="240" w:lineRule="auto"/>
      </w:pPr>
      <w:r>
        <w:separator/>
      </w:r>
    </w:p>
  </w:endnote>
  <w:endnote w:type="continuationSeparator" w:id="0">
    <w:p w:rsidR="004E4E27" w:rsidRDefault="004E4E27" w:rsidP="005A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E49" w:rsidRDefault="00AE322F" w:rsidP="00672E49">
    <w:pPr>
      <w:pStyle w:val="a5"/>
      <w:pBdr>
        <w:bottom w:val="single" w:sz="12" w:space="1" w:color="auto"/>
      </w:pBdr>
      <w:jc w:val="center"/>
      <w:rPr>
        <w:highlight w:val="yellow"/>
        <w:rtl/>
      </w:rPr>
    </w:pPr>
  </w:p>
  <w:p w:rsidR="00672E49" w:rsidRDefault="00AE322F" w:rsidP="00672E49">
    <w:pPr>
      <w:pStyle w:val="a5"/>
      <w:jc w:val="center"/>
      <w:rPr>
        <w:highlight w:val="yellow"/>
        <w:rtl/>
      </w:rPr>
    </w:pPr>
  </w:p>
  <w:p w:rsidR="00672E49" w:rsidRPr="00D17399" w:rsidRDefault="004E4E27" w:rsidP="00672E49">
    <w:pPr>
      <w:pStyle w:val="a5"/>
      <w:jc w:val="center"/>
      <w:rPr>
        <w:rFonts w:cs="David"/>
      </w:rPr>
    </w:pPr>
    <w:r w:rsidRPr="00A03209">
      <w:rPr>
        <w:rFonts w:hint="cs"/>
        <w:rtl/>
      </w:rPr>
      <w:t>הנהלת בתי הדין הרבניים</w:t>
    </w:r>
    <w:r w:rsidRPr="00A03209">
      <w:rPr>
        <w:rFonts w:cs="David" w:hint="cs"/>
        <w:rtl/>
      </w:rPr>
      <w:t xml:space="preserve"> | </w:t>
    </w:r>
    <w:r>
      <w:rPr>
        <w:rFonts w:hint="cs"/>
        <w:rtl/>
      </w:rPr>
      <w:t>ירושלים</w:t>
    </w:r>
    <w:r>
      <w:rPr>
        <w:rFonts w:cs="David" w:hint="cs"/>
        <w:rtl/>
      </w:rPr>
      <w:t xml:space="preserve">, </w:t>
    </w:r>
    <w:r>
      <w:rPr>
        <w:rFonts w:hint="cs"/>
        <w:rtl/>
      </w:rPr>
      <w:t>כנפי נשרים</w:t>
    </w:r>
    <w:r>
      <w:rPr>
        <w:rFonts w:cs="David" w:hint="cs"/>
        <w:rtl/>
      </w:rPr>
      <w:t xml:space="preserve"> </w:t>
    </w:r>
    <w:r>
      <w:rPr>
        <w:rFonts w:cs="David" w:hint="cs"/>
      </w:rPr>
      <w:t>22</w:t>
    </w:r>
    <w:r w:rsidRPr="00A03209">
      <w:rPr>
        <w:rFonts w:cs="David" w:hint="cs"/>
        <w:rtl/>
      </w:rPr>
      <w:t xml:space="preserve"> |  | טלפון: </w:t>
    </w:r>
    <w:r>
      <w:rPr>
        <w:rFonts w:cs="David" w:hint="cs"/>
      </w:rPr>
      <w:t>076-8894833</w:t>
    </w:r>
  </w:p>
  <w:p w:rsidR="00672E49" w:rsidRDefault="00AE322F" w:rsidP="00672E49">
    <w:pPr>
      <w:pStyle w:val="a5"/>
    </w:pPr>
  </w:p>
  <w:p w:rsidR="005179B6" w:rsidRPr="00672E49" w:rsidRDefault="00AE322F" w:rsidP="00672E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E27" w:rsidRDefault="004E4E27" w:rsidP="005A4A94">
      <w:pPr>
        <w:spacing w:after="0" w:line="240" w:lineRule="auto"/>
      </w:pPr>
      <w:r>
        <w:separator/>
      </w:r>
    </w:p>
  </w:footnote>
  <w:footnote w:type="continuationSeparator" w:id="0">
    <w:p w:rsidR="004E4E27" w:rsidRDefault="004E4E27" w:rsidP="005A4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9B6" w:rsidRPr="00C770CA" w:rsidRDefault="005A4A94" w:rsidP="00C770CA">
    <w:pPr>
      <w:pStyle w:val="a3"/>
      <w:jc w:val="center"/>
      <w:rPr>
        <w:rFonts w:cs="David"/>
        <w:rtl/>
      </w:rPr>
    </w:pPr>
    <w:r>
      <w:rPr>
        <w:rFonts w:cs="David"/>
        <w:noProof/>
      </w:rPr>
      <w:drawing>
        <wp:inline distT="0" distB="0" distL="0" distR="0">
          <wp:extent cx="1209675" cy="120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058C"/>
    <w:multiLevelType w:val="hybridMultilevel"/>
    <w:tmpl w:val="E3CEE8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0B734BA"/>
    <w:multiLevelType w:val="hybridMultilevel"/>
    <w:tmpl w:val="0DA60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96908"/>
    <w:multiLevelType w:val="hybridMultilevel"/>
    <w:tmpl w:val="577ED07C"/>
    <w:lvl w:ilvl="0" w:tplc="613CBA36">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894D07"/>
    <w:multiLevelType w:val="hybridMultilevel"/>
    <w:tmpl w:val="6FD82E2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4573CB8"/>
    <w:multiLevelType w:val="hybridMultilevel"/>
    <w:tmpl w:val="1DFEDA40"/>
    <w:lvl w:ilvl="0" w:tplc="5ABE8D4C">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94"/>
    <w:rsid w:val="004E4E27"/>
    <w:rsid w:val="005A4A94"/>
    <w:rsid w:val="0076626B"/>
    <w:rsid w:val="007C7F11"/>
    <w:rsid w:val="00AE322F"/>
    <w:rsid w:val="00C770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875D"/>
  <w15:docId w15:val="{488D1984-42FE-41E0-89F9-33230BE3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A94"/>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a4">
    <w:name w:val="כותרת עליונה תו"/>
    <w:basedOn w:val="a0"/>
    <w:link w:val="a3"/>
    <w:uiPriority w:val="99"/>
    <w:rsid w:val="005A4A94"/>
    <w:rPr>
      <w:rFonts w:ascii="Times New Roman" w:eastAsia="Times New Roman" w:hAnsi="Times New Roman" w:cs="Times New Roman"/>
      <w:sz w:val="24"/>
      <w:szCs w:val="24"/>
    </w:rPr>
  </w:style>
  <w:style w:type="paragraph" w:styleId="a5">
    <w:name w:val="footer"/>
    <w:basedOn w:val="a"/>
    <w:link w:val="a6"/>
    <w:uiPriority w:val="99"/>
    <w:unhideWhenUsed/>
    <w:rsid w:val="005A4A94"/>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a6">
    <w:name w:val="כותרת תחתונה תו"/>
    <w:basedOn w:val="a0"/>
    <w:link w:val="a5"/>
    <w:uiPriority w:val="99"/>
    <w:rsid w:val="005A4A94"/>
    <w:rPr>
      <w:rFonts w:ascii="Times New Roman" w:eastAsia="Times New Roman" w:hAnsi="Times New Roman" w:cs="Times New Roman"/>
      <w:sz w:val="24"/>
      <w:szCs w:val="24"/>
    </w:rPr>
  </w:style>
  <w:style w:type="paragraph" w:styleId="a7">
    <w:name w:val="List Paragraph"/>
    <w:basedOn w:val="a"/>
    <w:uiPriority w:val="34"/>
    <w:qFormat/>
    <w:rsid w:val="00766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210</Words>
  <Characters>1051</Characters>
  <Application>Microsoft Office Word</Application>
  <DocSecurity>0</DocSecurity>
  <Lines>8</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Created by the Microsoft Dynamics NAV report engine.</dc:description>
  <cp:lastModifiedBy>יעל ירמיהו</cp:lastModifiedBy>
  <cp:revision>4</cp:revision>
  <dcterms:created xsi:type="dcterms:W3CDTF">2020-01-12T10:55:00Z</dcterms:created>
  <dcterms:modified xsi:type="dcterms:W3CDTF">2020-01-15T11:43:00Z</dcterms:modified>
</cp:coreProperties>
</file>