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23" w:rsidRDefault="00C43023" w:rsidP="00B44289">
      <w:pPr>
        <w:jc w:val="right"/>
      </w:pPr>
      <w:r>
        <w:rPr>
          <w:rtl/>
        </w:rPr>
        <w:t xml:space="preserve">ירושלים, </w:t>
      </w:r>
      <w:r w:rsidR="00B44289">
        <w:rPr>
          <w:rFonts w:hint="cs"/>
          <w:rtl/>
        </w:rPr>
        <w:t>י"א</w:t>
      </w:r>
      <w:r>
        <w:rPr>
          <w:rtl/>
        </w:rPr>
        <w:t xml:space="preserve"> אדר ב' תשפ"ב</w:t>
      </w:r>
    </w:p>
    <w:p w:rsidR="00C43023" w:rsidRDefault="00B44289" w:rsidP="00C43023">
      <w:pPr>
        <w:jc w:val="right"/>
      </w:pPr>
      <w:r>
        <w:rPr>
          <w:rFonts w:hint="cs"/>
          <w:rtl/>
        </w:rPr>
        <w:t>14</w:t>
      </w:r>
      <w:r w:rsidR="00C43023">
        <w:rPr>
          <w:rtl/>
        </w:rPr>
        <w:t xml:space="preserve"> מרץ, 2022</w:t>
      </w:r>
    </w:p>
    <w:p w:rsidR="00C43023" w:rsidRDefault="00C43023" w:rsidP="00A90A7E">
      <w:pPr>
        <w:jc w:val="right"/>
        <w:rPr>
          <w:szCs w:val="20"/>
          <w:rtl/>
        </w:rPr>
      </w:pPr>
      <w:r>
        <w:rPr>
          <w:szCs w:val="20"/>
          <w:rtl/>
        </w:rPr>
        <w:t>פניה מ</w:t>
      </w:r>
      <w:bookmarkStart w:id="0" w:name="_GoBack"/>
      <w:bookmarkEnd w:id="0"/>
      <w:r>
        <w:rPr>
          <w:szCs w:val="20"/>
          <w:rtl/>
        </w:rPr>
        <w:t xml:space="preserve">ס'  </w:t>
      </w:r>
      <w:r w:rsidR="00A90A7E">
        <w:rPr>
          <w:rFonts w:hint="cs"/>
          <w:szCs w:val="20"/>
          <w:rtl/>
        </w:rPr>
        <w:t>14</w:t>
      </w:r>
      <w:r>
        <w:rPr>
          <w:szCs w:val="20"/>
          <w:rtl/>
        </w:rPr>
        <w:t>/2022</w:t>
      </w:r>
    </w:p>
    <w:p w:rsidR="00C43023" w:rsidRDefault="00C43023" w:rsidP="00C43023">
      <w:pPr>
        <w:rPr>
          <w:rtl/>
        </w:rPr>
      </w:pPr>
    </w:p>
    <w:p w:rsidR="00C43023" w:rsidRDefault="00C43023" w:rsidP="00C43023">
      <w:pPr>
        <w:rPr>
          <w:rtl/>
        </w:rPr>
      </w:pPr>
    </w:p>
    <w:p w:rsidR="00C43023" w:rsidRDefault="00C43023" w:rsidP="00C43023">
      <w:pPr>
        <w:rPr>
          <w:rtl/>
        </w:rPr>
      </w:pPr>
      <w:r>
        <w:rPr>
          <w:rtl/>
        </w:rPr>
        <w:t>לכבוד</w:t>
      </w:r>
    </w:p>
    <w:p w:rsidR="00C43023" w:rsidRDefault="00A90A7E" w:rsidP="00C43023">
      <w:pPr>
        <w:rPr>
          <w:rtl/>
        </w:rPr>
      </w:pPr>
      <w:r>
        <w:rPr>
          <w:rFonts w:hint="cs"/>
          <w:rtl/>
        </w:rPr>
        <w:t>עו"ד אלעד מן</w:t>
      </w:r>
    </w:p>
    <w:p w:rsidR="00467B68" w:rsidRDefault="00467B68" w:rsidP="00467B68">
      <w:pPr>
        <w:rPr>
          <w:rFonts w:ascii="David" w:hAnsi="David"/>
          <w:rtl/>
        </w:rPr>
      </w:pPr>
    </w:p>
    <w:p w:rsidR="00A90A7E" w:rsidRDefault="00A90A7E" w:rsidP="00A90A7E">
      <w:pPr>
        <w:rPr>
          <w:szCs w:val="26"/>
          <w:rtl/>
        </w:rPr>
      </w:pPr>
    </w:p>
    <w:p w:rsidR="00A90A7E" w:rsidRDefault="00A90A7E" w:rsidP="00A90A7E">
      <w:pPr>
        <w:spacing w:line="300" w:lineRule="auto"/>
        <w:ind w:left="566" w:hanging="567"/>
        <w:jc w:val="center"/>
        <w:rPr>
          <w:b/>
          <w:bCs/>
          <w:szCs w:val="26"/>
          <w:u w:val="single"/>
          <w:rtl/>
        </w:rPr>
      </w:pPr>
      <w:r>
        <w:rPr>
          <w:rFonts w:hint="cs"/>
          <w:szCs w:val="26"/>
          <w:rtl/>
        </w:rPr>
        <w:t>הנדון:</w:t>
      </w:r>
      <w:r w:rsidRPr="00ED44DF">
        <w:rPr>
          <w:rFonts w:hint="cs"/>
          <w:b/>
          <w:bCs/>
          <w:szCs w:val="26"/>
          <w:u w:val="single"/>
          <w:rtl/>
        </w:rPr>
        <w:t xml:space="preserve"> </w:t>
      </w:r>
      <w:bookmarkStart w:id="1" w:name="About"/>
      <w:bookmarkEnd w:id="1"/>
      <w:r>
        <w:rPr>
          <w:rFonts w:hint="eastAsia"/>
          <w:b/>
          <w:bCs/>
          <w:szCs w:val="26"/>
          <w:u w:val="single"/>
          <w:rtl/>
        </w:rPr>
        <w:t>בקשת</w:t>
      </w:r>
      <w:r>
        <w:rPr>
          <w:b/>
          <w:bCs/>
          <w:szCs w:val="26"/>
          <w:u w:val="single"/>
          <w:rtl/>
        </w:rPr>
        <w:t xml:space="preserve"> חופש מידע - דוחות ביקורת פנים</w:t>
      </w:r>
    </w:p>
    <w:p w:rsidR="00A90A7E" w:rsidRDefault="00A90A7E" w:rsidP="00A90A7E">
      <w:pPr>
        <w:spacing w:line="300" w:lineRule="auto"/>
        <w:ind w:left="566" w:hanging="567"/>
        <w:jc w:val="center"/>
        <w:rPr>
          <w:b/>
          <w:bCs/>
          <w:szCs w:val="26"/>
          <w:u w:val="single"/>
          <w:rtl/>
        </w:rPr>
      </w:pPr>
    </w:p>
    <w:p w:rsidR="00A90A7E" w:rsidRDefault="00A90A7E" w:rsidP="00A90A7E">
      <w:pPr>
        <w:spacing w:line="300" w:lineRule="auto"/>
        <w:ind w:left="-1"/>
        <w:jc w:val="both"/>
        <w:rPr>
          <w:szCs w:val="26"/>
          <w:rtl/>
        </w:rPr>
      </w:pPr>
      <w:r>
        <w:rPr>
          <w:rFonts w:hint="cs"/>
          <w:szCs w:val="26"/>
          <w:rtl/>
        </w:rPr>
        <w:t>בהמשך למכתבך מיום 27.2.22 ולאחר שהעברנו את רשימת הדוחות שנערכו בשנים 2019-2021, רצ"ב לבקשתך טבלה המרכזת את היקף שעות העבודה הצפוי שיידרשו מכל אגף לצורך ביצוע הפעולות המפורטות לעיל:</w:t>
      </w:r>
    </w:p>
    <w:p w:rsidR="00A90A7E" w:rsidRDefault="00A90A7E" w:rsidP="00A90A7E">
      <w:pPr>
        <w:spacing w:line="300" w:lineRule="auto"/>
        <w:jc w:val="both"/>
        <w:rPr>
          <w:szCs w:val="26"/>
          <w:rtl/>
        </w:rPr>
      </w:pPr>
    </w:p>
    <w:tbl>
      <w:tblPr>
        <w:bidiVisual/>
        <w:tblW w:w="8909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1739"/>
        <w:gridCol w:w="1208"/>
        <w:gridCol w:w="59"/>
        <w:gridCol w:w="1073"/>
        <w:gridCol w:w="1368"/>
        <w:gridCol w:w="953"/>
        <w:gridCol w:w="980"/>
        <w:gridCol w:w="6"/>
        <w:gridCol w:w="798"/>
        <w:gridCol w:w="6"/>
      </w:tblGrid>
      <w:tr w:rsidR="00A90A7E" w:rsidRPr="00E92928" w:rsidTr="00A90A7E">
        <w:trPr>
          <w:gridBefore w:val="3"/>
          <w:gridAfter w:val="1"/>
          <w:wBefore w:w="3666" w:type="dxa"/>
          <w:wAfter w:w="6" w:type="dxa"/>
          <w:trHeight w:val="760"/>
        </w:trPr>
        <w:tc>
          <w:tcPr>
            <w:tcW w:w="4433" w:type="dxa"/>
            <w:gridSpan w:val="5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b/>
                <w:bCs/>
                <w:szCs w:val="26"/>
                <w:rtl/>
              </w:rPr>
              <w:t>כמות השעות הנדרשים מכל אגף לצורך בחינה ועיבוד הבקשה</w:t>
            </w:r>
          </w:p>
        </w:tc>
        <w:tc>
          <w:tcPr>
            <w:tcW w:w="804" w:type="dxa"/>
            <w:gridSpan w:val="2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סה"כ שעות</w:t>
            </w:r>
          </w:p>
        </w:tc>
      </w:tr>
      <w:tr w:rsidR="00A90A7E" w:rsidRPr="00E92928" w:rsidTr="00A90A7E">
        <w:tblPrEx>
          <w:tblLook w:val="04A0" w:firstRow="1" w:lastRow="0" w:firstColumn="1" w:lastColumn="0" w:noHBand="0" w:noVBand="1"/>
        </w:tblPrEx>
        <w:tc>
          <w:tcPr>
            <w:tcW w:w="71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b/>
                <w:bCs/>
                <w:szCs w:val="26"/>
              </w:rPr>
            </w:pPr>
            <w:r w:rsidRPr="00E92928">
              <w:rPr>
                <w:rFonts w:ascii="Calibri" w:eastAsia="Calibri" w:hAnsi="Calibri"/>
                <w:b/>
                <w:bCs/>
                <w:szCs w:val="26"/>
                <w:rtl/>
              </w:rPr>
              <w:t>שנה</w:t>
            </w:r>
          </w:p>
        </w:tc>
        <w:tc>
          <w:tcPr>
            <w:tcW w:w="1739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b/>
                <w:bCs/>
                <w:szCs w:val="26"/>
                <w:rtl/>
              </w:rPr>
              <w:t>הדוחות המבוקשים - נושא הדו"ח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b/>
                <w:bCs/>
                <w:szCs w:val="26"/>
                <w:rtl/>
              </w:rPr>
              <w:t>האגף המבוקר</w:t>
            </w:r>
          </w:p>
        </w:tc>
        <w:tc>
          <w:tcPr>
            <w:tcW w:w="107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b/>
                <w:bCs/>
                <w:szCs w:val="26"/>
                <w:rtl/>
              </w:rPr>
              <w:t xml:space="preserve">אגף הביקורת </w:t>
            </w:r>
          </w:p>
        </w:tc>
        <w:tc>
          <w:tcPr>
            <w:tcW w:w="1368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b/>
                <w:bCs/>
                <w:szCs w:val="26"/>
                <w:rtl/>
              </w:rPr>
              <w:t>לשכות השר/מנכ"ל</w:t>
            </w:r>
          </w:p>
        </w:tc>
        <w:tc>
          <w:tcPr>
            <w:tcW w:w="95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b/>
                <w:bCs/>
                <w:szCs w:val="26"/>
                <w:rtl/>
              </w:rPr>
              <w:t>אגף אבטחת מידע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b/>
                <w:bCs/>
                <w:szCs w:val="26"/>
                <w:rtl/>
              </w:rPr>
              <w:t>האגף המבוקר</w:t>
            </w:r>
          </w:p>
        </w:tc>
        <w:tc>
          <w:tcPr>
            <w:tcW w:w="804" w:type="dxa"/>
            <w:gridSpan w:val="2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</w:p>
        </w:tc>
      </w:tr>
      <w:tr w:rsidR="00A90A7E" w:rsidRPr="00E92928" w:rsidTr="00A90A7E">
        <w:tblPrEx>
          <w:tblLook w:val="04A0" w:firstRow="1" w:lastRow="0" w:firstColumn="1" w:lastColumn="0" w:noHBand="0" w:noVBand="1"/>
        </w:tblPrEx>
        <w:tc>
          <w:tcPr>
            <w:tcW w:w="71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b/>
                <w:bCs/>
                <w:szCs w:val="26"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2019</w:t>
            </w:r>
          </w:p>
        </w:tc>
        <w:tc>
          <w:tcPr>
            <w:tcW w:w="173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היערכות המשרד ואופן ביצוע ההגנה בתחום הסייבר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אגף ביטחון ומערך הסייבר</w:t>
            </w:r>
          </w:p>
        </w:tc>
        <w:tc>
          <w:tcPr>
            <w:tcW w:w="107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70</w:t>
            </w:r>
          </w:p>
        </w:tc>
        <w:tc>
          <w:tcPr>
            <w:tcW w:w="1368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30</w:t>
            </w:r>
          </w:p>
        </w:tc>
        <w:tc>
          <w:tcPr>
            <w:tcW w:w="95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80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20</w:t>
            </w:r>
          </w:p>
        </w:tc>
        <w:tc>
          <w:tcPr>
            <w:tcW w:w="804" w:type="dxa"/>
            <w:gridSpan w:val="2"/>
          </w:tcPr>
          <w:p w:rsidR="00A90A7E" w:rsidRPr="006F2A4A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200</w:t>
            </w:r>
          </w:p>
        </w:tc>
      </w:tr>
      <w:tr w:rsidR="00A90A7E" w:rsidRPr="00E92928" w:rsidTr="00A90A7E">
        <w:tblPrEx>
          <w:tblLook w:val="04A0" w:firstRow="1" w:lastRow="0" w:firstColumn="1" w:lastColumn="0" w:noHBand="0" w:noVBand="1"/>
        </w:tblPrEx>
        <w:tc>
          <w:tcPr>
            <w:tcW w:w="71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szCs w:val="26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אפוטרופוס לנכסי נפקדים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</w:p>
        </w:tc>
        <w:tc>
          <w:tcPr>
            <w:tcW w:w="107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70</w:t>
            </w:r>
          </w:p>
        </w:tc>
        <w:tc>
          <w:tcPr>
            <w:tcW w:w="1368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35</w:t>
            </w:r>
          </w:p>
        </w:tc>
        <w:tc>
          <w:tcPr>
            <w:tcW w:w="95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20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70</w:t>
            </w:r>
          </w:p>
        </w:tc>
        <w:tc>
          <w:tcPr>
            <w:tcW w:w="804" w:type="dxa"/>
            <w:gridSpan w:val="2"/>
          </w:tcPr>
          <w:p w:rsidR="00A90A7E" w:rsidRPr="006F2A4A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195</w:t>
            </w:r>
          </w:p>
        </w:tc>
      </w:tr>
      <w:tr w:rsidR="00A90A7E" w:rsidRPr="00E92928" w:rsidTr="00A90A7E">
        <w:tblPrEx>
          <w:tblLook w:val="04A0" w:firstRow="1" w:lastRow="0" w:firstColumn="1" w:lastColumn="0" w:noHBand="0" w:noVBand="1"/>
        </w:tblPrEx>
        <w:tc>
          <w:tcPr>
            <w:tcW w:w="71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2020</w:t>
            </w:r>
          </w:p>
        </w:tc>
        <w:tc>
          <w:tcPr>
            <w:tcW w:w="173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רשות לאכיפת מקרקעין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</w:p>
        </w:tc>
        <w:tc>
          <w:tcPr>
            <w:tcW w:w="107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100</w:t>
            </w:r>
          </w:p>
        </w:tc>
        <w:tc>
          <w:tcPr>
            <w:tcW w:w="1368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szCs w:val="26"/>
                <w:rtl/>
              </w:rPr>
              <w:t>40</w:t>
            </w:r>
          </w:p>
        </w:tc>
        <w:tc>
          <w:tcPr>
            <w:tcW w:w="95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30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120</w:t>
            </w:r>
          </w:p>
        </w:tc>
        <w:tc>
          <w:tcPr>
            <w:tcW w:w="804" w:type="dxa"/>
            <w:gridSpan w:val="2"/>
          </w:tcPr>
          <w:p w:rsidR="00A90A7E" w:rsidRPr="00216416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290</w:t>
            </w:r>
          </w:p>
        </w:tc>
      </w:tr>
      <w:tr w:rsidR="00A90A7E" w:rsidRPr="00E92928" w:rsidTr="00A90A7E">
        <w:tblPrEx>
          <w:tblLook w:val="04A0" w:firstRow="1" w:lastRow="0" w:firstColumn="1" w:lastColumn="0" w:noHBand="0" w:noVBand="1"/>
        </w:tblPrEx>
        <w:tc>
          <w:tcPr>
            <w:tcW w:w="71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b/>
                <w:bCs/>
                <w:szCs w:val="26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 xml:space="preserve">היחידה לחקירות שכר </w:t>
            </w:r>
            <w:r>
              <w:rPr>
                <w:rFonts w:ascii="Calibri" w:eastAsia="Calibri" w:hAnsi="Calibri"/>
                <w:szCs w:val="26"/>
                <w:rtl/>
              </w:rPr>
              <w:t>–</w:t>
            </w:r>
            <w:r>
              <w:rPr>
                <w:rFonts w:ascii="Calibri" w:eastAsia="Calibri" w:hAnsi="Calibri" w:hint="cs"/>
                <w:szCs w:val="26"/>
                <w:rtl/>
              </w:rPr>
              <w:t xml:space="preserve"> </w:t>
            </w:r>
            <w:r w:rsidRPr="0076233A">
              <w:rPr>
                <w:rFonts w:ascii="Calibri" w:eastAsia="Calibri" w:hAnsi="Calibri" w:hint="cs"/>
                <w:b/>
                <w:bCs/>
                <w:szCs w:val="26"/>
                <w:rtl/>
              </w:rPr>
              <w:t>דוח מעקב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אגף השכר והסכמי עבודה</w:t>
            </w:r>
          </w:p>
        </w:tc>
        <w:tc>
          <w:tcPr>
            <w:tcW w:w="107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20</w:t>
            </w:r>
          </w:p>
        </w:tc>
        <w:tc>
          <w:tcPr>
            <w:tcW w:w="95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20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50</w:t>
            </w:r>
          </w:p>
        </w:tc>
        <w:tc>
          <w:tcPr>
            <w:tcW w:w="804" w:type="dxa"/>
            <w:gridSpan w:val="2"/>
          </w:tcPr>
          <w:p w:rsidR="00A90A7E" w:rsidRPr="00216416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130</w:t>
            </w:r>
          </w:p>
        </w:tc>
      </w:tr>
      <w:tr w:rsidR="00A90A7E" w:rsidRPr="00E92928" w:rsidTr="00A90A7E">
        <w:tblPrEx>
          <w:tblLook w:val="04A0" w:firstRow="1" w:lastRow="0" w:firstColumn="1" w:lastColumn="0" w:noHBand="0" w:noVBand="1"/>
        </w:tblPrEx>
        <w:tc>
          <w:tcPr>
            <w:tcW w:w="71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2021</w:t>
            </w:r>
          </w:p>
        </w:tc>
        <w:tc>
          <w:tcPr>
            <w:tcW w:w="173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szCs w:val="26"/>
                <w:rtl/>
              </w:rPr>
            </w:pPr>
            <w:r w:rsidRPr="00C93BC9">
              <w:rPr>
                <w:rFonts w:ascii="Calibri" w:eastAsia="Calibri" w:hAnsi="Calibri" w:hint="cs"/>
                <w:b/>
                <w:bCs/>
                <w:szCs w:val="26"/>
                <w:rtl/>
              </w:rPr>
              <w:t>*</w:t>
            </w:r>
            <w:r>
              <w:rPr>
                <w:rFonts w:ascii="Calibri" w:eastAsia="Calibri" w:hAnsi="Calibri" w:hint="cs"/>
                <w:szCs w:val="26"/>
                <w:rtl/>
              </w:rPr>
              <w:t>הסדרי פרישה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אגף השכר והסכמי עבודה</w:t>
            </w:r>
          </w:p>
        </w:tc>
        <w:tc>
          <w:tcPr>
            <w:tcW w:w="107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120</w:t>
            </w:r>
          </w:p>
        </w:tc>
        <w:tc>
          <w:tcPr>
            <w:tcW w:w="1368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40</w:t>
            </w:r>
          </w:p>
        </w:tc>
        <w:tc>
          <w:tcPr>
            <w:tcW w:w="95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30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150</w:t>
            </w:r>
          </w:p>
        </w:tc>
        <w:tc>
          <w:tcPr>
            <w:tcW w:w="804" w:type="dxa"/>
            <w:gridSpan w:val="2"/>
          </w:tcPr>
          <w:p w:rsidR="00A90A7E" w:rsidRPr="00216416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340</w:t>
            </w:r>
          </w:p>
        </w:tc>
      </w:tr>
      <w:tr w:rsidR="00A90A7E" w:rsidRPr="00E92928" w:rsidTr="00A90A7E">
        <w:tblPrEx>
          <w:tblLook w:val="04A0" w:firstRow="1" w:lastRow="0" w:firstColumn="1" w:lastColumn="0" w:noHBand="0" w:noVBand="1"/>
        </w:tblPrEx>
        <w:tc>
          <w:tcPr>
            <w:tcW w:w="71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b/>
                <w:bCs/>
                <w:szCs w:val="26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A90A7E" w:rsidRPr="00A45F98" w:rsidRDefault="00A90A7E" w:rsidP="004C0578">
            <w:pPr>
              <w:rPr>
                <w:rFonts w:ascii="Calibri" w:eastAsia="Calibri" w:hAnsi="Calibri"/>
                <w:b/>
                <w:bCs/>
                <w:szCs w:val="26"/>
                <w:rtl/>
              </w:rPr>
            </w:pPr>
            <w:proofErr w:type="spellStart"/>
            <w:r>
              <w:rPr>
                <w:rFonts w:ascii="Calibri" w:eastAsia="Calibri" w:hAnsi="Calibri" w:hint="cs"/>
                <w:szCs w:val="26"/>
                <w:rtl/>
              </w:rPr>
              <w:t>מינהל</w:t>
            </w:r>
            <w:proofErr w:type="spellEnd"/>
            <w:r>
              <w:rPr>
                <w:rFonts w:ascii="Calibri" w:eastAsia="Calibri" w:hAnsi="Calibri" w:hint="cs"/>
                <w:szCs w:val="26"/>
                <w:rtl/>
              </w:rPr>
              <w:t xml:space="preserve"> הרכש- ביצוע מכרזים </w:t>
            </w:r>
            <w:r>
              <w:rPr>
                <w:rFonts w:ascii="Calibri" w:eastAsia="Calibri" w:hAnsi="Calibri"/>
                <w:szCs w:val="26"/>
                <w:rtl/>
              </w:rPr>
              <w:t>–</w:t>
            </w:r>
            <w:r>
              <w:rPr>
                <w:rFonts w:ascii="Calibri" w:eastAsia="Calibri" w:hAnsi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דוח מעקב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אגף החשב הכללי</w:t>
            </w:r>
          </w:p>
        </w:tc>
        <w:tc>
          <w:tcPr>
            <w:tcW w:w="1073" w:type="dxa"/>
            <w:shd w:val="clear" w:color="auto" w:fill="auto"/>
          </w:tcPr>
          <w:p w:rsidR="00A90A7E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:rsidR="00A90A7E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20</w:t>
            </w:r>
          </w:p>
        </w:tc>
        <w:tc>
          <w:tcPr>
            <w:tcW w:w="953" w:type="dxa"/>
            <w:shd w:val="clear" w:color="auto" w:fill="auto"/>
          </w:tcPr>
          <w:p w:rsidR="00A90A7E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20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90A7E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50</w:t>
            </w:r>
          </w:p>
        </w:tc>
        <w:tc>
          <w:tcPr>
            <w:tcW w:w="804" w:type="dxa"/>
            <w:gridSpan w:val="2"/>
          </w:tcPr>
          <w:p w:rsidR="00A90A7E" w:rsidRPr="00216416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130</w:t>
            </w:r>
          </w:p>
        </w:tc>
      </w:tr>
      <w:tr w:rsidR="00A90A7E" w:rsidRPr="00E92928" w:rsidTr="00A90A7E">
        <w:tblPrEx>
          <w:tblLook w:val="04A0" w:firstRow="1" w:lastRow="0" w:firstColumn="1" w:lastColumn="0" w:noHBand="0" w:noVBand="1"/>
        </w:tblPrEx>
        <w:tc>
          <w:tcPr>
            <w:tcW w:w="71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b/>
                <w:bCs/>
                <w:szCs w:val="26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A90A7E" w:rsidRPr="0076233A" w:rsidRDefault="00A90A7E" w:rsidP="004C0578">
            <w:pPr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 xml:space="preserve">פיקוח הממונה על השכר על קופות החולים </w:t>
            </w:r>
            <w:r>
              <w:rPr>
                <w:rFonts w:ascii="Calibri" w:eastAsia="Calibri" w:hAnsi="Calibri"/>
                <w:szCs w:val="26"/>
                <w:rtl/>
              </w:rPr>
              <w:t>–</w:t>
            </w:r>
            <w:r>
              <w:rPr>
                <w:rFonts w:ascii="Calibri" w:eastAsia="Calibri" w:hAnsi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דוח מעקב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szCs w:val="26"/>
                <w:rtl/>
              </w:rPr>
              <w:t>אגף השכר והסכמי עבודה</w:t>
            </w:r>
          </w:p>
        </w:tc>
        <w:tc>
          <w:tcPr>
            <w:tcW w:w="107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 w:rsidRPr="00E92928">
              <w:rPr>
                <w:rFonts w:ascii="Calibri" w:eastAsia="Calibri" w:hAnsi="Calibri" w:hint="cs"/>
                <w:szCs w:val="26"/>
                <w:rtl/>
              </w:rPr>
              <w:t>60</w:t>
            </w:r>
          </w:p>
        </w:tc>
        <w:tc>
          <w:tcPr>
            <w:tcW w:w="1368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25</w:t>
            </w:r>
          </w:p>
        </w:tc>
        <w:tc>
          <w:tcPr>
            <w:tcW w:w="95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20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60</w:t>
            </w:r>
          </w:p>
        </w:tc>
        <w:tc>
          <w:tcPr>
            <w:tcW w:w="804" w:type="dxa"/>
            <w:gridSpan w:val="2"/>
          </w:tcPr>
          <w:p w:rsidR="00A90A7E" w:rsidRPr="00216416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165</w:t>
            </w:r>
          </w:p>
        </w:tc>
      </w:tr>
      <w:tr w:rsidR="00A90A7E" w:rsidRPr="00E92928" w:rsidTr="00A90A7E">
        <w:tblPrEx>
          <w:tblLook w:val="04A0" w:firstRow="1" w:lastRow="0" w:firstColumn="1" w:lastColumn="0" w:noHBand="0" w:noVBand="1"/>
        </w:tblPrEx>
        <w:tc>
          <w:tcPr>
            <w:tcW w:w="719" w:type="dxa"/>
            <w:shd w:val="clear" w:color="auto" w:fill="auto"/>
          </w:tcPr>
          <w:p w:rsidR="00A90A7E" w:rsidRPr="00E92928" w:rsidRDefault="00A90A7E" w:rsidP="004C0578">
            <w:pPr>
              <w:rPr>
                <w:rFonts w:ascii="Calibri" w:eastAsia="Calibri" w:hAnsi="Calibri"/>
                <w:b/>
                <w:bCs/>
                <w:szCs w:val="26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A90A7E" w:rsidRPr="0076233A" w:rsidRDefault="00A90A7E" w:rsidP="004C0578">
            <w:pPr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**</w:t>
            </w:r>
            <w:r>
              <w:rPr>
                <w:rFonts w:ascii="Calibri" w:eastAsia="Calibri" w:hAnsi="Calibri" w:hint="cs"/>
                <w:szCs w:val="26"/>
                <w:rtl/>
              </w:rPr>
              <w:t xml:space="preserve">מאזן המדינה, רישום התחייבות פנסיונית </w:t>
            </w:r>
            <w:r>
              <w:rPr>
                <w:rFonts w:ascii="Calibri" w:eastAsia="Calibri" w:hAnsi="Calibri"/>
                <w:szCs w:val="26"/>
                <w:rtl/>
              </w:rPr>
              <w:t>–</w:t>
            </w:r>
            <w:r>
              <w:rPr>
                <w:rFonts w:ascii="Calibri" w:eastAsia="Calibri" w:hAnsi="Calibri" w:hint="cs"/>
                <w:szCs w:val="26"/>
                <w:rtl/>
              </w:rPr>
              <w:t xml:space="preserve"> פנסיה תקציבית </w:t>
            </w:r>
            <w:r>
              <w:rPr>
                <w:rFonts w:ascii="Calibri" w:eastAsia="Calibri" w:hAnsi="Calibri"/>
                <w:szCs w:val="26"/>
                <w:rtl/>
              </w:rPr>
              <w:t>–</w:t>
            </w:r>
            <w:r>
              <w:rPr>
                <w:rFonts w:ascii="Calibri" w:eastAsia="Calibri" w:hAnsi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דוח מעקב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אגף החשב הכללי</w:t>
            </w:r>
          </w:p>
        </w:tc>
        <w:tc>
          <w:tcPr>
            <w:tcW w:w="107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15</w:t>
            </w:r>
          </w:p>
        </w:tc>
        <w:tc>
          <w:tcPr>
            <w:tcW w:w="1368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5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A90A7E" w:rsidRPr="00E92928" w:rsidRDefault="00A90A7E" w:rsidP="004C0578">
            <w:pPr>
              <w:jc w:val="center"/>
              <w:rPr>
                <w:rFonts w:ascii="Calibri" w:eastAsia="Calibri" w:hAnsi="Calibri"/>
                <w:szCs w:val="26"/>
                <w:rtl/>
              </w:rPr>
            </w:pPr>
            <w:r>
              <w:rPr>
                <w:rFonts w:ascii="Calibri" w:eastAsia="Calibri" w:hAnsi="Calibri" w:hint="cs"/>
                <w:szCs w:val="26"/>
                <w:rtl/>
              </w:rPr>
              <w:t>20</w:t>
            </w:r>
          </w:p>
        </w:tc>
        <w:tc>
          <w:tcPr>
            <w:tcW w:w="804" w:type="dxa"/>
            <w:gridSpan w:val="2"/>
          </w:tcPr>
          <w:p w:rsidR="00A90A7E" w:rsidRPr="00216416" w:rsidRDefault="00A90A7E" w:rsidP="004C0578">
            <w:pPr>
              <w:jc w:val="center"/>
              <w:rPr>
                <w:rFonts w:ascii="Calibri" w:eastAsia="Calibri" w:hAnsi="Calibri"/>
                <w:b/>
                <w:bCs/>
                <w:szCs w:val="26"/>
                <w:rtl/>
              </w:rPr>
            </w:pPr>
            <w:r>
              <w:rPr>
                <w:rFonts w:ascii="Calibri" w:eastAsia="Calibri" w:hAnsi="Calibri" w:hint="cs"/>
                <w:b/>
                <w:bCs/>
                <w:szCs w:val="26"/>
                <w:rtl/>
              </w:rPr>
              <w:t>45</w:t>
            </w:r>
          </w:p>
        </w:tc>
      </w:tr>
    </w:tbl>
    <w:p w:rsidR="00A90A7E" w:rsidRDefault="00A90A7E" w:rsidP="00A90A7E">
      <w:pPr>
        <w:tabs>
          <w:tab w:val="left" w:pos="3401"/>
          <w:tab w:val="center" w:pos="7511"/>
        </w:tabs>
        <w:spacing w:line="300" w:lineRule="auto"/>
        <w:rPr>
          <w:szCs w:val="26"/>
          <w:rtl/>
        </w:rPr>
      </w:pPr>
      <w:r>
        <w:rPr>
          <w:rFonts w:hint="cs"/>
          <w:szCs w:val="26"/>
          <w:rtl/>
        </w:rPr>
        <w:tab/>
      </w:r>
    </w:p>
    <w:p w:rsidR="00A90A7E" w:rsidRPr="00C93BC9" w:rsidRDefault="00A90A7E" w:rsidP="00A90A7E">
      <w:pPr>
        <w:ind w:left="60"/>
        <w:rPr>
          <w:b/>
          <w:bCs/>
          <w:szCs w:val="26"/>
        </w:rPr>
      </w:pPr>
      <w:r>
        <w:rPr>
          <w:rFonts w:hint="cs"/>
          <w:b/>
          <w:bCs/>
          <w:szCs w:val="26"/>
          <w:rtl/>
        </w:rPr>
        <w:t>*</w:t>
      </w:r>
      <w:r w:rsidRPr="00C93BC9">
        <w:rPr>
          <w:rFonts w:hint="cs"/>
          <w:b/>
          <w:bCs/>
          <w:szCs w:val="26"/>
          <w:rtl/>
        </w:rPr>
        <w:t>בכפוף לאישורים מיוחדים מהגורמים הרלוונטיים.</w:t>
      </w:r>
    </w:p>
    <w:p w:rsidR="00A90A7E" w:rsidRDefault="00A90A7E" w:rsidP="00A90A7E">
      <w:pPr>
        <w:rPr>
          <w:b/>
          <w:bCs/>
          <w:szCs w:val="26"/>
          <w:rtl/>
        </w:rPr>
      </w:pPr>
    </w:p>
    <w:p w:rsidR="00A90A7E" w:rsidRDefault="00A90A7E" w:rsidP="00A90A7E">
      <w:pPr>
        <w:rPr>
          <w:b/>
          <w:bCs/>
          <w:szCs w:val="26"/>
          <w:rtl/>
        </w:rPr>
      </w:pPr>
      <w:r>
        <w:rPr>
          <w:rFonts w:hint="cs"/>
          <w:b/>
          <w:bCs/>
          <w:szCs w:val="26"/>
          <w:rtl/>
        </w:rPr>
        <w:t>**דוח זה הועבר אליכם במסגרת בקשה לחופש מידע בשנת 2017.</w:t>
      </w:r>
    </w:p>
    <w:p w:rsidR="005538CA" w:rsidRDefault="005538CA" w:rsidP="005538CA">
      <w:pPr>
        <w:rPr>
          <w:rtl/>
        </w:rPr>
      </w:pPr>
    </w:p>
    <w:p w:rsidR="00B44289" w:rsidRDefault="00B44289" w:rsidP="00B44289">
      <w:pPr>
        <w:rPr>
          <w:rFonts w:ascii="Arial" w:hAnsi="Arial" w:cs="Arial"/>
          <w:sz w:val="22"/>
          <w:szCs w:val="22"/>
        </w:rPr>
      </w:pPr>
    </w:p>
    <w:p w:rsidR="00C43023" w:rsidRPr="00B44289" w:rsidRDefault="00C43023" w:rsidP="00C43023">
      <w:pPr>
        <w:spacing w:after="240"/>
        <w:jc w:val="both"/>
        <w:rPr>
          <w:rFonts w:ascii="David" w:hAnsi="David"/>
          <w:rtl/>
        </w:rPr>
      </w:pPr>
    </w:p>
    <w:p w:rsidR="00302B65" w:rsidRDefault="00302B65" w:rsidP="00302B65">
      <w:pPr>
        <w:jc w:val="both"/>
        <w:rPr>
          <w:rStyle w:val="default"/>
          <w:rFonts w:ascii="FrankRuehl" w:hAnsi="FrankRuehl" w:cs="FrankRuehl"/>
          <w:color w:val="000000"/>
          <w:sz w:val="26"/>
          <w:szCs w:val="26"/>
          <w:rtl/>
        </w:rPr>
      </w:pPr>
    </w:p>
    <w:p w:rsidR="004D3D62" w:rsidRDefault="004D3D62" w:rsidP="00853131">
      <w:pPr>
        <w:ind w:left="5022"/>
        <w:jc w:val="center"/>
        <w:rPr>
          <w:rFonts w:ascii="David" w:hAnsi="David"/>
          <w:rtl/>
        </w:rPr>
      </w:pPr>
    </w:p>
    <w:p w:rsidR="004D3D62" w:rsidRDefault="004D3D62" w:rsidP="00853131">
      <w:pPr>
        <w:ind w:left="5022"/>
        <w:jc w:val="center"/>
        <w:rPr>
          <w:rFonts w:ascii="David" w:hAnsi="David"/>
          <w:rtl/>
        </w:rPr>
      </w:pP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בכבוד רב ,</w:t>
      </w: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אנט קליימן</w:t>
      </w:r>
    </w:p>
    <w:p w:rsidR="00B4289C" w:rsidRPr="00547403" w:rsidRDefault="00D315FF" w:rsidP="00E14CF3">
      <w:pPr>
        <w:ind w:left="5022"/>
        <w:jc w:val="center"/>
        <w:rPr>
          <w:rFonts w:ascii="David" w:hAnsi="David"/>
        </w:rPr>
      </w:pPr>
      <w:r w:rsidRPr="00547403">
        <w:rPr>
          <w:rFonts w:ascii="David" w:hAnsi="David"/>
          <w:rtl/>
        </w:rPr>
        <w:t>ממונה</w:t>
      </w:r>
      <w:r w:rsidR="00E14CF3">
        <w:rPr>
          <w:rFonts w:ascii="David" w:hAnsi="David"/>
          <w:rtl/>
        </w:rPr>
        <w:t xml:space="preserve"> על פניות הציבור וחוק חופש המיד</w:t>
      </w:r>
      <w:r w:rsidR="00E14CF3">
        <w:rPr>
          <w:rFonts w:ascii="David" w:hAnsi="David" w:hint="cs"/>
          <w:rtl/>
        </w:rPr>
        <w:t>ע</w:t>
      </w:r>
    </w:p>
    <w:sectPr w:rsidR="00B4289C" w:rsidRPr="00547403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62" w:rsidRDefault="00A76E62">
      <w:pPr>
        <w:spacing w:line="240" w:lineRule="auto"/>
      </w:pPr>
      <w:r>
        <w:separator/>
      </w:r>
    </w:p>
  </w:endnote>
  <w:endnote w:type="continuationSeparator" w:id="0">
    <w:p w:rsidR="00A76E62" w:rsidRDefault="00A76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62" w:rsidRDefault="00A76E62">
      <w:pPr>
        <w:spacing w:line="240" w:lineRule="auto"/>
      </w:pPr>
      <w:r>
        <w:separator/>
      </w:r>
    </w:p>
  </w:footnote>
  <w:footnote w:type="continuationSeparator" w:id="0">
    <w:p w:rsidR="00A76E62" w:rsidRDefault="00A76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9"/>
  </w:num>
  <w:num w:numId="27">
    <w:abstractNumId w:val="15"/>
  </w:num>
  <w:num w:numId="28">
    <w:abstractNumId w:val="17"/>
  </w:num>
  <w:num w:numId="29">
    <w:abstractNumId w:val="3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1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5A9"/>
    <w:rsid w:val="000F2749"/>
    <w:rsid w:val="000F2B05"/>
    <w:rsid w:val="00112B5A"/>
    <w:rsid w:val="00121CE8"/>
    <w:rsid w:val="00131B23"/>
    <w:rsid w:val="00134A02"/>
    <w:rsid w:val="001410B1"/>
    <w:rsid w:val="0014721E"/>
    <w:rsid w:val="001544DB"/>
    <w:rsid w:val="00172D57"/>
    <w:rsid w:val="001771B3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330C"/>
    <w:rsid w:val="00277E25"/>
    <w:rsid w:val="002947B9"/>
    <w:rsid w:val="002B2249"/>
    <w:rsid w:val="002C42BB"/>
    <w:rsid w:val="002D1139"/>
    <w:rsid w:val="002D396E"/>
    <w:rsid w:val="002D53CE"/>
    <w:rsid w:val="002E34A8"/>
    <w:rsid w:val="002E6886"/>
    <w:rsid w:val="002F554B"/>
    <w:rsid w:val="00301871"/>
    <w:rsid w:val="00302B65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C195E"/>
    <w:rsid w:val="004C3318"/>
    <w:rsid w:val="004C6ED6"/>
    <w:rsid w:val="004D3D62"/>
    <w:rsid w:val="004D4234"/>
    <w:rsid w:val="004D77A6"/>
    <w:rsid w:val="004E083D"/>
    <w:rsid w:val="004E671F"/>
    <w:rsid w:val="00511BC6"/>
    <w:rsid w:val="00542062"/>
    <w:rsid w:val="00545F8C"/>
    <w:rsid w:val="00547143"/>
    <w:rsid w:val="00547403"/>
    <w:rsid w:val="005538CA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1B91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6489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7C16"/>
    <w:rsid w:val="00A14AD9"/>
    <w:rsid w:val="00A314CB"/>
    <w:rsid w:val="00A347A6"/>
    <w:rsid w:val="00A348E5"/>
    <w:rsid w:val="00A41792"/>
    <w:rsid w:val="00A543F1"/>
    <w:rsid w:val="00A6510B"/>
    <w:rsid w:val="00A679E4"/>
    <w:rsid w:val="00A7356D"/>
    <w:rsid w:val="00A76E62"/>
    <w:rsid w:val="00A90046"/>
    <w:rsid w:val="00A90508"/>
    <w:rsid w:val="00A90A7E"/>
    <w:rsid w:val="00AA0A14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4289"/>
    <w:rsid w:val="00B4679A"/>
    <w:rsid w:val="00B50101"/>
    <w:rsid w:val="00B53D80"/>
    <w:rsid w:val="00B6166E"/>
    <w:rsid w:val="00B630B1"/>
    <w:rsid w:val="00B66C46"/>
    <w:rsid w:val="00BB67B9"/>
    <w:rsid w:val="00BD49B7"/>
    <w:rsid w:val="00BD61C6"/>
    <w:rsid w:val="00BF1149"/>
    <w:rsid w:val="00BF79AD"/>
    <w:rsid w:val="00C03767"/>
    <w:rsid w:val="00C048E8"/>
    <w:rsid w:val="00C170D2"/>
    <w:rsid w:val="00C240B8"/>
    <w:rsid w:val="00C2761B"/>
    <w:rsid w:val="00C43023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4BD3A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,כותרת 1 תו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, תו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,h3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,א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free.DOT</Template>
  <TotalTime>325</TotalTime>
  <Pages>2</Pages>
  <Words>200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יובל לוי</cp:lastModifiedBy>
  <cp:revision>117</cp:revision>
  <cp:lastPrinted>2022-03-14T09:21:00Z</cp:lastPrinted>
  <dcterms:created xsi:type="dcterms:W3CDTF">2021-05-31T05:30:00Z</dcterms:created>
  <dcterms:modified xsi:type="dcterms:W3CDTF">2022-03-14T09:21:00Z</dcterms:modified>
</cp:coreProperties>
</file>