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24" w:rsidRDefault="005E0824" w:rsidP="005E0824">
      <w:pPr>
        <w:spacing w:line="360" w:lineRule="auto"/>
        <w:jc w:val="both"/>
        <w:rPr>
          <w:rFonts w:ascii="Times New Roman" w:eastAsia="Times New Roman" w:hAnsi="Times New Roman" w:cs="David" w:hint="cs"/>
          <w:sz w:val="24"/>
          <w:szCs w:val="24"/>
          <w:u w:val="single"/>
          <w:rtl/>
        </w:rPr>
      </w:pPr>
    </w:p>
    <w:p w:rsidR="005E0824" w:rsidRPr="005B34FE" w:rsidRDefault="005E0824" w:rsidP="005E0824">
      <w:pPr>
        <w:spacing w:line="360" w:lineRule="auto"/>
        <w:jc w:val="both"/>
        <w:rPr>
          <w:rFonts w:ascii="Times New Roman" w:eastAsia="Times New Roman" w:hAnsi="Times New Roman" w:cs="David" w:hint="cs"/>
          <w:sz w:val="24"/>
          <w:szCs w:val="24"/>
          <w:u w:val="single"/>
          <w:rtl/>
        </w:rPr>
      </w:pPr>
      <w:r w:rsidRPr="005B34FE">
        <w:rPr>
          <w:rFonts w:ascii="Times New Roman" w:eastAsia="Times New Roman" w:hAnsi="Times New Roman" w:cs="David" w:hint="cs"/>
          <w:sz w:val="24"/>
          <w:szCs w:val="24"/>
          <w:u w:val="single"/>
          <w:rtl/>
        </w:rPr>
        <w:t>המצב המשפטי הקיים</w:t>
      </w:r>
    </w:p>
    <w:p w:rsidR="005E0824" w:rsidRPr="005242CD" w:rsidRDefault="005E0824" w:rsidP="005E0824">
      <w:pPr>
        <w:spacing w:after="0" w:line="360" w:lineRule="auto"/>
        <w:ind w:left="-58"/>
        <w:jc w:val="both"/>
        <w:rPr>
          <w:rFonts w:ascii="Times New Roman" w:eastAsia="Times New Roman" w:hAnsi="Times New Roman" w:cs="David" w:hint="cs"/>
          <w:sz w:val="24"/>
          <w:szCs w:val="24"/>
          <w:rtl/>
        </w:rPr>
      </w:pPr>
      <w:proofErr w:type="spellStart"/>
      <w:r w:rsidRPr="005242CD">
        <w:rPr>
          <w:rFonts w:ascii="Times New Roman" w:eastAsia="Times New Roman" w:hAnsi="Times New Roman" w:cs="David" w:hint="cs"/>
          <w:sz w:val="24"/>
          <w:szCs w:val="24"/>
          <w:rtl/>
        </w:rPr>
        <w:t>ברע"א</w:t>
      </w:r>
      <w:proofErr w:type="spellEnd"/>
      <w:r w:rsidRPr="005242CD">
        <w:rPr>
          <w:rFonts w:ascii="Times New Roman" w:eastAsia="Times New Roman" w:hAnsi="Times New Roman" w:cs="David" w:hint="cs"/>
          <w:sz w:val="24"/>
          <w:szCs w:val="24"/>
          <w:rtl/>
        </w:rPr>
        <w:t xml:space="preserve"> 714/96 </w:t>
      </w:r>
      <w:proofErr w:type="spellStart"/>
      <w:r w:rsidRPr="005242CD">
        <w:rPr>
          <w:rFonts w:ascii="Times New Roman" w:eastAsia="Times New Roman" w:hAnsi="Times New Roman" w:cs="David" w:hint="cs"/>
          <w:b/>
          <w:bCs/>
          <w:sz w:val="24"/>
          <w:szCs w:val="24"/>
          <w:rtl/>
        </w:rPr>
        <w:t>פריסקל</w:t>
      </w:r>
      <w:proofErr w:type="spellEnd"/>
      <w:r w:rsidRPr="005242CD">
        <w:rPr>
          <w:rFonts w:ascii="Times New Roman" w:eastAsia="Times New Roman" w:hAnsi="Times New Roman" w:cs="David" w:hint="cs"/>
          <w:b/>
          <w:bCs/>
          <w:sz w:val="24"/>
          <w:szCs w:val="24"/>
          <w:rtl/>
        </w:rPr>
        <w:t xml:space="preserve"> נ' בורנשטיין</w:t>
      </w:r>
      <w:r w:rsidRPr="005242CD">
        <w:rPr>
          <w:rFonts w:ascii="Times New Roman" w:eastAsia="Times New Roman" w:hAnsi="Times New Roman" w:cs="David" w:hint="cs"/>
          <w:sz w:val="24"/>
          <w:szCs w:val="24"/>
          <w:rtl/>
        </w:rPr>
        <w:t xml:space="preserve">, קבעה השופטת </w:t>
      </w:r>
      <w:proofErr w:type="spellStart"/>
      <w:r w:rsidRPr="005242CD">
        <w:rPr>
          <w:rFonts w:ascii="Times New Roman" w:eastAsia="Times New Roman" w:hAnsi="Times New Roman" w:cs="David" w:hint="cs"/>
          <w:sz w:val="24"/>
          <w:szCs w:val="24"/>
          <w:rtl/>
        </w:rPr>
        <w:t>שטרסברג</w:t>
      </w:r>
      <w:proofErr w:type="spellEnd"/>
      <w:r w:rsidRPr="005242CD">
        <w:rPr>
          <w:rFonts w:ascii="Times New Roman" w:eastAsia="Times New Roman" w:hAnsi="Times New Roman" w:cs="David" w:hint="cs"/>
          <w:sz w:val="24"/>
          <w:szCs w:val="24"/>
          <w:rtl/>
        </w:rPr>
        <w:t>- כהן כי בית משפט ב</w:t>
      </w:r>
      <w:r>
        <w:rPr>
          <w:rFonts w:ascii="Times New Roman" w:eastAsia="Times New Roman" w:hAnsi="Times New Roman" w:cs="David" w:hint="cs"/>
          <w:sz w:val="24"/>
          <w:szCs w:val="24"/>
          <w:rtl/>
        </w:rPr>
        <w:t xml:space="preserve">ישראל </w:t>
      </w:r>
      <w:r w:rsidRPr="005242CD">
        <w:rPr>
          <w:rFonts w:ascii="Times New Roman" w:eastAsia="Times New Roman" w:hAnsi="Times New Roman" w:cs="David" w:hint="cs"/>
          <w:sz w:val="24"/>
          <w:szCs w:val="24"/>
          <w:rtl/>
        </w:rPr>
        <w:t xml:space="preserve">מוסמך לתת נגד כל מתדיין המצוי לפניו כדין צווים שונים ומגוונים, לרבות צו חוסם. מקור סמכות זאת בסעיף 75 לחוק בתי המשפט (נוסח משולב), </w:t>
      </w:r>
      <w:proofErr w:type="spellStart"/>
      <w:r w:rsidRPr="005242CD">
        <w:rPr>
          <w:rFonts w:ascii="Times New Roman" w:eastAsia="Times New Roman" w:hAnsi="Times New Roman" w:cs="David" w:hint="cs"/>
          <w:sz w:val="24"/>
          <w:szCs w:val="24"/>
          <w:rtl/>
        </w:rPr>
        <w:t>התשמ"ד</w:t>
      </w:r>
      <w:proofErr w:type="spellEnd"/>
      <w:r w:rsidRPr="005242CD">
        <w:rPr>
          <w:rFonts w:ascii="Times New Roman" w:eastAsia="Times New Roman" w:hAnsi="Times New Roman" w:cs="David" w:hint="cs"/>
          <w:sz w:val="24"/>
          <w:szCs w:val="24"/>
          <w:rtl/>
        </w:rPr>
        <w:t xml:space="preserve">- 1984 ובסמכותו הטבועה של בית המשפט המוסמך (ראה עמ' 761, סעיפים ה-ו). בכל מקרה, באותו עניין לא מצאה לנכון השופטת </w:t>
      </w:r>
      <w:proofErr w:type="spellStart"/>
      <w:r w:rsidRPr="005242CD">
        <w:rPr>
          <w:rFonts w:ascii="Times New Roman" w:eastAsia="Times New Roman" w:hAnsi="Times New Roman" w:cs="David" w:hint="cs"/>
          <w:sz w:val="24"/>
          <w:szCs w:val="24"/>
          <w:rtl/>
        </w:rPr>
        <w:t>שטרסברג</w:t>
      </w:r>
      <w:proofErr w:type="spellEnd"/>
      <w:r w:rsidRPr="005242CD">
        <w:rPr>
          <w:rFonts w:ascii="Times New Roman" w:eastAsia="Times New Roman" w:hAnsi="Times New Roman" w:cs="David" w:hint="cs"/>
          <w:sz w:val="24"/>
          <w:szCs w:val="24"/>
          <w:rtl/>
        </w:rPr>
        <w:t xml:space="preserve"> כהן </w:t>
      </w:r>
      <w:proofErr w:type="spellStart"/>
      <w:r w:rsidRPr="005242CD">
        <w:rPr>
          <w:rFonts w:ascii="Times New Roman" w:eastAsia="Times New Roman" w:hAnsi="Times New Roman" w:cs="David" w:hint="cs"/>
          <w:sz w:val="24"/>
          <w:szCs w:val="24"/>
          <w:rtl/>
        </w:rPr>
        <w:t>ליתן</w:t>
      </w:r>
      <w:proofErr w:type="spellEnd"/>
      <w:r w:rsidRPr="005242CD">
        <w:rPr>
          <w:rFonts w:ascii="Times New Roman" w:eastAsia="Times New Roman" w:hAnsi="Times New Roman" w:cs="David" w:hint="cs"/>
          <w:sz w:val="24"/>
          <w:szCs w:val="24"/>
          <w:rtl/>
        </w:rPr>
        <w:t xml:space="preserve"> צו כאמור. </w:t>
      </w:r>
    </w:p>
    <w:p w:rsidR="005E0824" w:rsidRPr="005242CD" w:rsidRDefault="005E0824" w:rsidP="005E0824">
      <w:pPr>
        <w:spacing w:after="0" w:line="360" w:lineRule="auto"/>
        <w:ind w:left="567"/>
        <w:jc w:val="both"/>
        <w:rPr>
          <w:rFonts w:ascii="Times New Roman" w:eastAsia="Times New Roman" w:hAnsi="Times New Roman" w:cs="David" w:hint="cs"/>
          <w:sz w:val="24"/>
          <w:szCs w:val="24"/>
          <w:rtl/>
        </w:rPr>
      </w:pPr>
    </w:p>
    <w:p w:rsidR="005E0824" w:rsidRPr="005242CD" w:rsidRDefault="005E0824" w:rsidP="005E0824">
      <w:pPr>
        <w:spacing w:after="0" w:line="360" w:lineRule="auto"/>
        <w:jc w:val="both"/>
        <w:rPr>
          <w:rFonts w:ascii="Times New Roman" w:eastAsia="Times New Roman" w:hAnsi="Times New Roman" w:cs="David" w:hint="cs"/>
          <w:sz w:val="24"/>
          <w:szCs w:val="24"/>
          <w:rtl/>
        </w:rPr>
      </w:pPr>
      <w:r w:rsidRPr="005242CD">
        <w:rPr>
          <w:rFonts w:ascii="Times New Roman" w:eastAsia="Times New Roman" w:hAnsi="Times New Roman" w:cs="David" w:hint="cs"/>
          <w:sz w:val="24"/>
          <w:szCs w:val="24"/>
          <w:rtl/>
        </w:rPr>
        <w:t>כמו כן, בפס"ד שניתן על ידי כב' השופטת מימון (</w:t>
      </w:r>
      <w:proofErr w:type="spellStart"/>
      <w:r w:rsidRPr="005242CD">
        <w:rPr>
          <w:rFonts w:ascii="Times New Roman" w:eastAsia="Times New Roman" w:hAnsi="Times New Roman" w:cs="David" w:hint="cs"/>
          <w:b/>
          <w:bCs/>
          <w:sz w:val="24"/>
          <w:szCs w:val="24"/>
          <w:rtl/>
        </w:rPr>
        <w:t>תמ"ש</w:t>
      </w:r>
      <w:proofErr w:type="spellEnd"/>
      <w:r w:rsidRPr="005242CD">
        <w:rPr>
          <w:rFonts w:ascii="Times New Roman" w:eastAsia="Times New Roman" w:hAnsi="Times New Roman" w:cs="David" w:hint="cs"/>
          <w:b/>
          <w:bCs/>
          <w:sz w:val="24"/>
          <w:szCs w:val="24"/>
          <w:rtl/>
        </w:rPr>
        <w:t xml:space="preserve"> 25202-09-10)</w:t>
      </w:r>
      <w:r w:rsidRPr="005242CD">
        <w:rPr>
          <w:rFonts w:ascii="Times New Roman" w:eastAsia="Times New Roman" w:hAnsi="Times New Roman" w:cs="David" w:hint="cs"/>
          <w:sz w:val="24"/>
          <w:szCs w:val="24"/>
          <w:rtl/>
        </w:rPr>
        <w:t xml:space="preserve"> נקבע כי מבחינת המדיניות השיפוטית הראויה, אין לסגת מההכרה בסמכותו הטבועה של בית המשפט </w:t>
      </w:r>
      <w:proofErr w:type="spellStart"/>
      <w:r w:rsidRPr="005242CD">
        <w:rPr>
          <w:rFonts w:ascii="Times New Roman" w:eastAsia="Times New Roman" w:hAnsi="Times New Roman" w:cs="David" w:hint="cs"/>
          <w:sz w:val="24"/>
          <w:szCs w:val="24"/>
          <w:rtl/>
        </w:rPr>
        <w:t>ליתן</w:t>
      </w:r>
      <w:proofErr w:type="spellEnd"/>
      <w:r w:rsidRPr="005242CD">
        <w:rPr>
          <w:rFonts w:ascii="Times New Roman" w:eastAsia="Times New Roman" w:hAnsi="Times New Roman" w:cs="David" w:hint="cs"/>
          <w:sz w:val="24"/>
          <w:szCs w:val="24"/>
          <w:rtl/>
        </w:rPr>
        <w:t xml:space="preserve"> צו חוסם, הגם שתעשה במשורה ובמקרים מתאימים ונדירים לצורך מיגור תופעת </w:t>
      </w:r>
      <w:proofErr w:type="spellStart"/>
      <w:r w:rsidRPr="005242CD">
        <w:rPr>
          <w:rFonts w:ascii="Times New Roman" w:eastAsia="Times New Roman" w:hAnsi="Times New Roman" w:cs="David" w:hint="cs"/>
          <w:sz w:val="24"/>
          <w:szCs w:val="24"/>
          <w:rtl/>
        </w:rPr>
        <w:t>הטורדנות</w:t>
      </w:r>
      <w:proofErr w:type="spellEnd"/>
      <w:r w:rsidRPr="005242CD">
        <w:rPr>
          <w:rFonts w:ascii="Times New Roman" w:eastAsia="Times New Roman" w:hAnsi="Times New Roman" w:cs="David" w:hint="cs"/>
          <w:sz w:val="24"/>
          <w:szCs w:val="24"/>
          <w:rtl/>
        </w:rPr>
        <w:t>, כדברי השופט</w:t>
      </w:r>
      <w:r>
        <w:rPr>
          <w:rFonts w:ascii="Times New Roman" w:eastAsia="Times New Roman" w:hAnsi="Times New Roman" w:cs="David" w:hint="cs"/>
          <w:sz w:val="24"/>
          <w:szCs w:val="24"/>
          <w:rtl/>
        </w:rPr>
        <w:t xml:space="preserve">ת מימון. יצוין, שבמקרה הספציפי </w:t>
      </w:r>
      <w:r w:rsidRPr="005242CD">
        <w:rPr>
          <w:rFonts w:ascii="Times New Roman" w:eastAsia="Times New Roman" w:hAnsi="Times New Roman" w:cs="David" w:hint="cs"/>
          <w:sz w:val="24"/>
          <w:szCs w:val="24"/>
          <w:rtl/>
        </w:rPr>
        <w:t xml:space="preserve">דובר </w:t>
      </w:r>
      <w:r w:rsidRPr="003E79A8">
        <w:rPr>
          <w:rFonts w:ascii="Times New Roman" w:eastAsia="Times New Roman" w:hAnsi="Times New Roman" w:cs="David" w:hint="cs"/>
          <w:sz w:val="24"/>
          <w:szCs w:val="24"/>
          <w:u w:val="single"/>
          <w:rtl/>
        </w:rPr>
        <w:t>בנסיבות קיצוניות וחריגות</w:t>
      </w:r>
      <w:r w:rsidRPr="005242CD">
        <w:rPr>
          <w:rFonts w:ascii="Times New Roman" w:eastAsia="Times New Roman" w:hAnsi="Times New Roman" w:cs="David" w:hint="cs"/>
          <w:sz w:val="24"/>
          <w:szCs w:val="24"/>
          <w:rtl/>
        </w:rPr>
        <w:t xml:space="preserve"> </w:t>
      </w:r>
      <w:r w:rsidRPr="005242CD">
        <w:rPr>
          <w:rFonts w:ascii="Arial" w:eastAsia="Times New Roman" w:hAnsi="Arial" w:cs="David" w:hint="cs"/>
          <w:sz w:val="24"/>
          <w:szCs w:val="24"/>
          <w:rtl/>
        </w:rPr>
        <w:t xml:space="preserve">שבמסגרתן התבקשה השופטת </w:t>
      </w:r>
      <w:r w:rsidRPr="005242CD">
        <w:rPr>
          <w:rFonts w:ascii="Arial" w:eastAsia="Times New Roman" w:hAnsi="Arial" w:cs="David"/>
          <w:sz w:val="24"/>
          <w:szCs w:val="24"/>
          <w:rtl/>
        </w:rPr>
        <w:t xml:space="preserve">להטיל צו חוסם כנגד אב שהתעלל בבתו במשך שנים (נידון ל- 15 שנות מאסר) והמשיך להגיש תביעות סרק מכותלי הכלא נגדה, נגד בני משפחתה, מכריה ושכניה, תוך שהוא מגולל בפניהם בפירוט רב את המעשים האיומים שביצע בבתו. </w:t>
      </w:r>
    </w:p>
    <w:p w:rsidR="005E0824" w:rsidRPr="005242CD" w:rsidRDefault="005E0824" w:rsidP="005E0824">
      <w:pPr>
        <w:spacing w:after="0" w:line="360" w:lineRule="auto"/>
        <w:ind w:left="567" w:hanging="567"/>
        <w:jc w:val="both"/>
        <w:rPr>
          <w:rFonts w:ascii="Times New Roman" w:eastAsia="Times New Roman" w:hAnsi="Times New Roman" w:cs="David" w:hint="cs"/>
          <w:sz w:val="24"/>
          <w:szCs w:val="24"/>
          <w:rtl/>
        </w:rPr>
      </w:pPr>
    </w:p>
    <w:p w:rsidR="005E0824" w:rsidRPr="005242CD" w:rsidRDefault="005E0824" w:rsidP="005E0824">
      <w:pPr>
        <w:spacing w:after="0" w:line="360" w:lineRule="auto"/>
        <w:ind w:left="-58"/>
        <w:jc w:val="both"/>
        <w:rPr>
          <w:rFonts w:ascii="Times New Roman" w:eastAsia="Times New Roman" w:hAnsi="Times New Roman" w:cs="David" w:hint="cs"/>
          <w:sz w:val="24"/>
          <w:szCs w:val="24"/>
          <w:rtl/>
        </w:rPr>
      </w:pPr>
      <w:r w:rsidRPr="005242CD">
        <w:rPr>
          <w:rFonts w:ascii="Times New Roman" w:eastAsia="Times New Roman" w:hAnsi="Times New Roman" w:cs="David" w:hint="cs"/>
          <w:sz w:val="24"/>
          <w:szCs w:val="24"/>
          <w:rtl/>
        </w:rPr>
        <w:t xml:space="preserve">לעומת זאת, בע"א </w:t>
      </w:r>
      <w:r w:rsidRPr="005242CD">
        <w:rPr>
          <w:rFonts w:ascii="Times New Roman" w:eastAsia="Times New Roman" w:hAnsi="Times New Roman" w:cs="David" w:hint="cs"/>
          <w:b/>
          <w:bCs/>
          <w:sz w:val="24"/>
          <w:szCs w:val="24"/>
          <w:rtl/>
        </w:rPr>
        <w:t>דב אלון נ' מדינת ישראל</w:t>
      </w:r>
      <w:r w:rsidRPr="005242CD">
        <w:rPr>
          <w:rFonts w:ascii="Times New Roman" w:eastAsia="Times New Roman" w:hAnsi="Times New Roman" w:cs="David" w:hint="cs"/>
          <w:sz w:val="24"/>
          <w:szCs w:val="24"/>
          <w:rtl/>
        </w:rPr>
        <w:t xml:space="preserve">, פ"ד </w:t>
      </w:r>
      <w:proofErr w:type="spellStart"/>
      <w:r w:rsidRPr="005242CD">
        <w:rPr>
          <w:rFonts w:ascii="Times New Roman" w:eastAsia="Times New Roman" w:hAnsi="Times New Roman" w:cs="David" w:hint="cs"/>
          <w:sz w:val="24"/>
          <w:szCs w:val="24"/>
          <w:rtl/>
        </w:rPr>
        <w:t>כט</w:t>
      </w:r>
      <w:proofErr w:type="spellEnd"/>
      <w:r w:rsidRPr="005242CD">
        <w:rPr>
          <w:rFonts w:ascii="Times New Roman" w:eastAsia="Times New Roman" w:hAnsi="Times New Roman" w:cs="David" w:hint="cs"/>
          <w:sz w:val="24"/>
          <w:szCs w:val="24"/>
          <w:rtl/>
        </w:rPr>
        <w:t xml:space="preserve">(2) 124, 125-126 משהתעוררה השאלה אם יש סמכות </w:t>
      </w:r>
      <w:proofErr w:type="spellStart"/>
      <w:r w:rsidRPr="005242CD">
        <w:rPr>
          <w:rFonts w:ascii="Times New Roman" w:eastAsia="Times New Roman" w:hAnsi="Times New Roman" w:cs="David" w:hint="cs"/>
          <w:sz w:val="24"/>
          <w:szCs w:val="24"/>
          <w:rtl/>
        </w:rPr>
        <w:t>ליתן</w:t>
      </w:r>
      <w:proofErr w:type="spellEnd"/>
      <w:r w:rsidRPr="005242CD">
        <w:rPr>
          <w:rFonts w:ascii="Times New Roman" w:eastAsia="Times New Roman" w:hAnsi="Times New Roman" w:cs="David" w:hint="cs"/>
          <w:sz w:val="24"/>
          <w:szCs w:val="24"/>
          <w:rtl/>
        </w:rPr>
        <w:t xml:space="preserve"> צו חוסם כנגד בעל דין טרדן, ניתנה לכך על ידי השופט ח' כהן תשובה שלילית ועל פיה אין לבית משפט בישראל סמכות מעין זו. על האמור בפסק דין זה, חוזר השופט ריבלין </w:t>
      </w:r>
      <w:proofErr w:type="spellStart"/>
      <w:r w:rsidRPr="005242CD">
        <w:rPr>
          <w:rFonts w:ascii="Times New Roman" w:eastAsia="Times New Roman" w:hAnsi="Times New Roman" w:cs="David" w:hint="cs"/>
          <w:sz w:val="24"/>
          <w:szCs w:val="24"/>
          <w:rtl/>
        </w:rPr>
        <w:t>ברע"א</w:t>
      </w:r>
      <w:proofErr w:type="spellEnd"/>
      <w:r w:rsidRPr="005242CD">
        <w:rPr>
          <w:rFonts w:ascii="Times New Roman" w:eastAsia="Times New Roman" w:hAnsi="Times New Roman" w:cs="David" w:hint="cs"/>
          <w:sz w:val="24"/>
          <w:szCs w:val="24"/>
          <w:rtl/>
        </w:rPr>
        <w:t xml:space="preserve"> 778/03 </w:t>
      </w:r>
      <w:r w:rsidRPr="005242CD">
        <w:rPr>
          <w:rFonts w:ascii="Times New Roman" w:eastAsia="Times New Roman" w:hAnsi="Times New Roman" w:cs="David" w:hint="cs"/>
          <w:b/>
          <w:bCs/>
          <w:sz w:val="24"/>
          <w:szCs w:val="24"/>
          <w:rtl/>
        </w:rPr>
        <w:t>אינטר לאב בע"מ</w:t>
      </w:r>
      <w:r w:rsidRPr="005242CD">
        <w:rPr>
          <w:rFonts w:ascii="Times New Roman" w:eastAsia="Times New Roman" w:hAnsi="Times New Roman" w:cs="David" w:hint="cs"/>
          <w:sz w:val="24"/>
          <w:szCs w:val="24"/>
          <w:rtl/>
        </w:rPr>
        <w:t xml:space="preserve"> נ' </w:t>
      </w:r>
      <w:r w:rsidRPr="005242CD">
        <w:rPr>
          <w:rFonts w:ascii="Times New Roman" w:eastAsia="Times New Roman" w:hAnsi="Times New Roman" w:cs="David"/>
          <w:sz w:val="24"/>
          <w:szCs w:val="24"/>
        </w:rPr>
        <w:t xml:space="preserve">Israel Bio Engineering Project </w:t>
      </w:r>
      <w:r w:rsidRPr="005242CD">
        <w:rPr>
          <w:rFonts w:ascii="Times New Roman" w:eastAsia="Times New Roman" w:hAnsi="Times New Roman" w:cs="David" w:hint="cs"/>
          <w:sz w:val="24"/>
          <w:szCs w:val="24"/>
          <w:rtl/>
        </w:rPr>
        <w:t xml:space="preserve"> (פ"ד </w:t>
      </w:r>
      <w:proofErr w:type="spellStart"/>
      <w:r w:rsidRPr="005242CD">
        <w:rPr>
          <w:rFonts w:ascii="Times New Roman" w:eastAsia="Times New Roman" w:hAnsi="Times New Roman" w:cs="David" w:hint="cs"/>
          <w:sz w:val="24"/>
          <w:szCs w:val="24"/>
          <w:rtl/>
        </w:rPr>
        <w:t>נז</w:t>
      </w:r>
      <w:proofErr w:type="spellEnd"/>
      <w:r w:rsidRPr="005242CD">
        <w:rPr>
          <w:rFonts w:ascii="Times New Roman" w:eastAsia="Times New Roman" w:hAnsi="Times New Roman" w:cs="David" w:hint="cs"/>
          <w:sz w:val="24"/>
          <w:szCs w:val="24"/>
          <w:rtl/>
        </w:rPr>
        <w:t>(5) 769), ומעיר כי על רקע זה, יתכן וראוי לשקול אם לא הגיעה העת כי יקבע גם בישראל ה</w:t>
      </w:r>
      <w:r>
        <w:rPr>
          <w:rFonts w:ascii="Times New Roman" w:eastAsia="Times New Roman" w:hAnsi="Times New Roman" w:cs="David" w:hint="cs"/>
          <w:sz w:val="24"/>
          <w:szCs w:val="24"/>
          <w:rtl/>
        </w:rPr>
        <w:t>ס</w:t>
      </w:r>
      <w:r w:rsidRPr="005242CD">
        <w:rPr>
          <w:rFonts w:ascii="Times New Roman" w:eastAsia="Times New Roman" w:hAnsi="Times New Roman" w:cs="David" w:hint="cs"/>
          <w:sz w:val="24"/>
          <w:szCs w:val="24"/>
          <w:rtl/>
        </w:rPr>
        <w:t>דר שיאפשר בנסיבות המיוחדות המצדיקות זאת, הוצאת צו חוסם כנגד בעל דין טרדן.</w:t>
      </w:r>
    </w:p>
    <w:p w:rsidR="005E0824" w:rsidRPr="005242CD" w:rsidRDefault="005E0824" w:rsidP="005E0824">
      <w:pPr>
        <w:spacing w:after="0" w:line="360" w:lineRule="auto"/>
        <w:ind w:left="567" w:hanging="567"/>
        <w:jc w:val="both"/>
        <w:rPr>
          <w:rFonts w:ascii="Times New Roman" w:eastAsia="Times New Roman" w:hAnsi="Times New Roman" w:cs="David" w:hint="cs"/>
          <w:sz w:val="24"/>
          <w:szCs w:val="24"/>
          <w:rtl/>
        </w:rPr>
      </w:pPr>
    </w:p>
    <w:p w:rsidR="005E0824" w:rsidRDefault="005E0824" w:rsidP="005E0824">
      <w:pPr>
        <w:spacing w:after="0" w:line="360" w:lineRule="auto"/>
        <w:ind w:left="-58"/>
        <w:jc w:val="both"/>
        <w:rPr>
          <w:rFonts w:ascii="Times New Roman" w:eastAsia="Times New Roman" w:hAnsi="Times New Roman" w:cs="David" w:hint="cs"/>
          <w:sz w:val="24"/>
          <w:szCs w:val="24"/>
          <w:rtl/>
        </w:rPr>
      </w:pPr>
      <w:r>
        <w:rPr>
          <w:rFonts w:ascii="Times New Roman" w:eastAsia="Times New Roman" w:hAnsi="Times New Roman" w:cs="David" w:hint="cs"/>
          <w:sz w:val="24"/>
          <w:szCs w:val="24"/>
          <w:rtl/>
        </w:rPr>
        <w:t>בהמשך לפסיקה המפורטת לעיל</w:t>
      </w:r>
      <w:r w:rsidRPr="005242CD">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בהחלטה שניתנה</w:t>
      </w:r>
      <w:r w:rsidRPr="005242CD">
        <w:rPr>
          <w:rFonts w:ascii="Times New Roman" w:eastAsia="Times New Roman" w:hAnsi="Times New Roman" w:cs="David" w:hint="cs"/>
          <w:sz w:val="24"/>
          <w:szCs w:val="24"/>
          <w:rtl/>
        </w:rPr>
        <w:t xml:space="preserve"> על ידי כב' הרשם </w:t>
      </w:r>
      <w:proofErr w:type="spellStart"/>
      <w:r w:rsidRPr="005242CD">
        <w:rPr>
          <w:rFonts w:ascii="Times New Roman" w:eastAsia="Times New Roman" w:hAnsi="Times New Roman" w:cs="David" w:hint="cs"/>
          <w:sz w:val="24"/>
          <w:szCs w:val="24"/>
          <w:rtl/>
        </w:rPr>
        <w:t>מרזל</w:t>
      </w:r>
      <w:proofErr w:type="spellEnd"/>
      <w:r w:rsidRPr="005242CD">
        <w:rPr>
          <w:rFonts w:ascii="Times New Roman" w:eastAsia="Times New Roman" w:hAnsi="Times New Roman" w:cs="David" w:hint="cs"/>
          <w:sz w:val="24"/>
          <w:szCs w:val="24"/>
          <w:rtl/>
        </w:rPr>
        <w:t xml:space="preserve"> (ראה: </w:t>
      </w:r>
      <w:proofErr w:type="spellStart"/>
      <w:r w:rsidRPr="005242CD">
        <w:rPr>
          <w:rFonts w:ascii="Times New Roman" w:eastAsia="Times New Roman" w:hAnsi="Times New Roman" w:cs="David" w:hint="cs"/>
          <w:sz w:val="24"/>
          <w:szCs w:val="24"/>
          <w:rtl/>
        </w:rPr>
        <w:t>בשגץ</w:t>
      </w:r>
      <w:proofErr w:type="spellEnd"/>
      <w:r w:rsidRPr="005242CD">
        <w:rPr>
          <w:rFonts w:ascii="Times New Roman" w:eastAsia="Times New Roman" w:hAnsi="Times New Roman" w:cs="David" w:hint="cs"/>
          <w:sz w:val="24"/>
          <w:szCs w:val="24"/>
          <w:rtl/>
        </w:rPr>
        <w:t xml:space="preserve"> 4748/06 </w:t>
      </w:r>
      <w:r w:rsidRPr="005242CD">
        <w:rPr>
          <w:rFonts w:ascii="Times New Roman" w:eastAsia="Times New Roman" w:hAnsi="Times New Roman" w:cs="David" w:hint="cs"/>
          <w:b/>
          <w:bCs/>
          <w:sz w:val="24"/>
          <w:szCs w:val="24"/>
          <w:rtl/>
        </w:rPr>
        <w:t>שלמה שקד נ' תפוחי</w:t>
      </w:r>
      <w:r>
        <w:rPr>
          <w:rFonts w:ascii="Times New Roman" w:eastAsia="Times New Roman" w:hAnsi="Times New Roman" w:cs="David" w:hint="cs"/>
          <w:sz w:val="24"/>
          <w:szCs w:val="24"/>
          <w:rtl/>
        </w:rPr>
        <w:t xml:space="preserve"> (פורסם בנבו) (להלן- עניין שקד)</w:t>
      </w:r>
      <w:r w:rsidRPr="005242CD">
        <w:rPr>
          <w:rFonts w:ascii="Times New Roman" w:eastAsia="Times New Roman" w:hAnsi="Times New Roman" w:cs="David" w:hint="cs"/>
          <w:sz w:val="24"/>
          <w:szCs w:val="24"/>
          <w:rtl/>
        </w:rPr>
        <w:t xml:space="preserve">, ציין כב' הרשם </w:t>
      </w:r>
      <w:proofErr w:type="spellStart"/>
      <w:r w:rsidRPr="005242CD">
        <w:rPr>
          <w:rFonts w:ascii="Times New Roman" w:eastAsia="Times New Roman" w:hAnsi="Times New Roman" w:cs="David" w:hint="cs"/>
          <w:sz w:val="24"/>
          <w:szCs w:val="24"/>
          <w:rtl/>
        </w:rPr>
        <w:t>מרזל</w:t>
      </w:r>
      <w:proofErr w:type="spellEnd"/>
      <w:r w:rsidRPr="005242CD">
        <w:rPr>
          <w:rFonts w:ascii="Times New Roman" w:eastAsia="Times New Roman" w:hAnsi="Times New Roman" w:cs="David" w:hint="cs"/>
          <w:sz w:val="24"/>
          <w:szCs w:val="24"/>
          <w:rtl/>
        </w:rPr>
        <w:t xml:space="preserve">, כי יתכן וראוי לשקול אם לא הגיעה העת כי יקבע בישראל הסדר שיאפשר בנסיבות המצדיקות זאת, הוצאת צו חוסם  כנגד בעל דין טרדן ועל פיו הגשת הליכים נוספים תחייב רשות של בית המשפט. </w:t>
      </w:r>
    </w:p>
    <w:p w:rsidR="005E0824" w:rsidRDefault="005E0824" w:rsidP="005E0824">
      <w:pPr>
        <w:spacing w:after="0" w:line="360" w:lineRule="auto"/>
        <w:ind w:left="567" w:hanging="567"/>
        <w:jc w:val="both"/>
        <w:rPr>
          <w:rFonts w:ascii="Times New Roman" w:eastAsia="Times New Roman" w:hAnsi="Times New Roman" w:cs="David" w:hint="cs"/>
          <w:sz w:val="24"/>
          <w:szCs w:val="24"/>
          <w:rtl/>
        </w:rPr>
      </w:pPr>
    </w:p>
    <w:p w:rsidR="005E0824" w:rsidRPr="005079EE" w:rsidRDefault="005E0824" w:rsidP="005E0824">
      <w:pPr>
        <w:spacing w:after="0" w:line="360" w:lineRule="auto"/>
        <w:ind w:left="-58" w:hanging="567"/>
        <w:jc w:val="both"/>
        <w:rPr>
          <w:rFonts w:ascii="Times New Roman" w:eastAsia="Times New Roman" w:hAnsi="Times New Roman" w:cs="David" w:hint="cs"/>
          <w:i/>
          <w:iCs/>
          <w:sz w:val="24"/>
          <w:szCs w:val="24"/>
          <w:rtl/>
        </w:rPr>
      </w:pPr>
      <w:r>
        <w:rPr>
          <w:rFonts w:ascii="Times New Roman" w:eastAsia="Times New Roman" w:hAnsi="Times New Roman" w:cs="David" w:hint="cs"/>
          <w:sz w:val="24"/>
          <w:szCs w:val="24"/>
          <w:rtl/>
        </w:rPr>
        <w:tab/>
        <w:t xml:space="preserve">במסגרת החלטה שניתנה לא מכבר על ידי נשיא בית המשפט העליון בדימוס, השופט </w:t>
      </w:r>
      <w:proofErr w:type="spellStart"/>
      <w:r>
        <w:rPr>
          <w:rFonts w:ascii="Times New Roman" w:eastAsia="Times New Roman" w:hAnsi="Times New Roman" w:cs="David" w:hint="cs"/>
          <w:sz w:val="24"/>
          <w:szCs w:val="24"/>
          <w:rtl/>
        </w:rPr>
        <w:t>גרוניס</w:t>
      </w:r>
      <w:proofErr w:type="spellEnd"/>
      <w:r>
        <w:rPr>
          <w:rFonts w:ascii="Times New Roman" w:eastAsia="Times New Roman" w:hAnsi="Times New Roman" w:cs="David" w:hint="cs"/>
          <w:sz w:val="24"/>
          <w:szCs w:val="24"/>
          <w:rtl/>
        </w:rPr>
        <w:t>, הוכתר העותר כמתדיין סדרתי תוך תיאור התנהלותו של מתדיין כאמור וההשלכות שיש לכך על ציבור המתדיינים בכלל (ראה בג"ץ 668/14</w:t>
      </w:r>
      <w:r w:rsidRPr="0076332B">
        <w:rPr>
          <w:rFonts w:ascii="Times New Roman" w:eastAsia="Times New Roman" w:hAnsi="Times New Roman" w:cs="David" w:hint="cs"/>
          <w:b/>
          <w:bCs/>
          <w:sz w:val="24"/>
          <w:szCs w:val="24"/>
          <w:rtl/>
        </w:rPr>
        <w:t xml:space="preserve"> מייק ואן קול נ' מדינת ישראל ואח'</w:t>
      </w:r>
      <w:r>
        <w:rPr>
          <w:rFonts w:ascii="Times New Roman" w:eastAsia="Times New Roman" w:hAnsi="Times New Roman" w:cs="David" w:hint="cs"/>
          <w:sz w:val="24"/>
          <w:szCs w:val="24"/>
          <w:rtl/>
        </w:rPr>
        <w:t xml:space="preserve"> (פורסם בנבו) ניתן ביום 14.8.14). בהחלטה נקבע כי </w:t>
      </w:r>
      <w:r w:rsidRPr="005079EE">
        <w:rPr>
          <w:rFonts w:ascii="Times New Roman" w:eastAsia="Times New Roman" w:hAnsi="Times New Roman" w:cs="David" w:hint="cs"/>
          <w:i/>
          <w:iCs/>
          <w:sz w:val="24"/>
          <w:szCs w:val="24"/>
          <w:rtl/>
        </w:rPr>
        <w:t>"</w:t>
      </w:r>
      <w:r w:rsidRPr="005079EE">
        <w:rPr>
          <w:rFonts w:cs="David" w:hint="cs"/>
          <w:i/>
          <w:iCs/>
          <w:sz w:val="24"/>
          <w:szCs w:val="24"/>
          <w:rtl/>
        </w:rPr>
        <w:t xml:space="preserve">עסקינן, אם כן, בבעל דין שהוא מתדיין סדרתי, המטריד את בית המשפט בבקשות שאין להן יסוד בדין, גורם לבזבוז של זמן שיפוטי ומתנסח בדרך שאינה הולמת פנייה לערכאות. במצב דברים זה, אנו מורים בזאת כי </w:t>
      </w:r>
      <w:r w:rsidRPr="005079EE">
        <w:rPr>
          <w:rFonts w:ascii="Times New Roman" w:hAnsi="Times New Roman" w:cs="David" w:hint="cs"/>
          <w:i/>
          <w:iCs/>
          <w:sz w:val="24"/>
          <w:szCs w:val="24"/>
          <w:rtl/>
        </w:rPr>
        <w:t>המזכירות לא תקבל מכאן ואילך בקשות מטעם העותר בהליכים שהסתיימו</w:t>
      </w:r>
      <w:r w:rsidRPr="005079EE">
        <w:rPr>
          <w:rFonts w:cs="David" w:hint="cs"/>
          <w:i/>
          <w:iCs/>
          <w:sz w:val="24"/>
          <w:szCs w:val="24"/>
          <w:rtl/>
        </w:rPr>
        <w:t>. כמו-כן, בית המשפט לא ייזקק להליכים שיגיש העותר אשר ינוסחו בלשון בלתי ראויה, שיש בה משום השתלחות בבית המשפט או ניסיון להלך אימים".</w:t>
      </w:r>
    </w:p>
    <w:p w:rsidR="00DF7807" w:rsidRDefault="00DF7807">
      <w:pPr>
        <w:rPr>
          <w:rFonts w:hint="cs"/>
          <w:rtl/>
        </w:rPr>
      </w:pPr>
    </w:p>
    <w:p w:rsidR="005E0824" w:rsidRPr="005E0824" w:rsidRDefault="005E0824" w:rsidP="005E0824">
      <w:pPr>
        <w:spacing w:after="0" w:line="360" w:lineRule="auto"/>
        <w:jc w:val="both"/>
        <w:rPr>
          <w:rFonts w:ascii="Times New Roman" w:eastAsia="Times New Roman" w:hAnsi="Times New Roman" w:cs="David" w:hint="cs"/>
          <w:sz w:val="24"/>
          <w:szCs w:val="24"/>
          <w:u w:val="single"/>
          <w:rtl/>
        </w:rPr>
      </w:pPr>
      <w:r w:rsidRPr="005E0824">
        <w:rPr>
          <w:rFonts w:ascii="Times New Roman" w:eastAsia="Times New Roman" w:hAnsi="Times New Roman" w:cs="David" w:hint="cs"/>
          <w:sz w:val="24"/>
          <w:szCs w:val="24"/>
          <w:u w:val="single"/>
          <w:rtl/>
        </w:rPr>
        <w:t>משפט משווה</w:t>
      </w:r>
    </w:p>
    <w:p w:rsidR="005E0824" w:rsidRPr="005E0824" w:rsidRDefault="005E0824" w:rsidP="005E0824">
      <w:pPr>
        <w:overflowPunct w:val="0"/>
        <w:autoSpaceDE w:val="0"/>
        <w:autoSpaceDN w:val="0"/>
        <w:adjustRightInd w:val="0"/>
        <w:spacing w:after="0" w:line="360" w:lineRule="auto"/>
        <w:ind w:left="360" w:hanging="360"/>
        <w:jc w:val="both"/>
        <w:rPr>
          <w:rFonts w:ascii="Times New Roman" w:eastAsia="Times New Roman" w:hAnsi="Times New Roman" w:cs="David"/>
          <w:sz w:val="24"/>
          <w:szCs w:val="24"/>
          <w:rtl/>
        </w:rPr>
      </w:pPr>
    </w:p>
    <w:p w:rsidR="005E0824" w:rsidRPr="005E0824" w:rsidRDefault="005E0824" w:rsidP="005E0824">
      <w:pPr>
        <w:spacing w:after="0" w:line="360" w:lineRule="auto"/>
        <w:jc w:val="both"/>
        <w:rPr>
          <w:rFonts w:ascii="Times New Roman" w:eastAsia="Times New Roman" w:hAnsi="Times New Roman" w:cs="David" w:hint="cs"/>
          <w:sz w:val="24"/>
          <w:szCs w:val="24"/>
          <w:rtl/>
        </w:rPr>
      </w:pPr>
      <w:r w:rsidRPr="005E0824">
        <w:rPr>
          <w:rFonts w:ascii="Arial" w:eastAsia="Times New Roman" w:hAnsi="Arial" w:cs="David"/>
          <w:sz w:val="24"/>
          <w:szCs w:val="24"/>
          <w:rtl/>
        </w:rPr>
        <w:t>במדינות זרות קי</w:t>
      </w:r>
      <w:r w:rsidRPr="005E0824">
        <w:rPr>
          <w:rFonts w:ascii="Arial" w:eastAsia="Times New Roman" w:hAnsi="Arial" w:cs="David" w:hint="cs"/>
          <w:sz w:val="24"/>
          <w:szCs w:val="24"/>
          <w:rtl/>
        </w:rPr>
        <w:t>י</w:t>
      </w:r>
      <w:r w:rsidRPr="005E0824">
        <w:rPr>
          <w:rFonts w:ascii="Arial" w:eastAsia="Times New Roman" w:hAnsi="Arial" w:cs="David"/>
          <w:sz w:val="24"/>
          <w:szCs w:val="24"/>
          <w:rtl/>
        </w:rPr>
        <w:t xml:space="preserve">מים הסדרים חקיקתיים המעניקים סמכות מפורשת </w:t>
      </w:r>
      <w:proofErr w:type="spellStart"/>
      <w:r w:rsidRPr="005E0824">
        <w:rPr>
          <w:rFonts w:ascii="Arial" w:eastAsia="Times New Roman" w:hAnsi="Arial" w:cs="David"/>
          <w:sz w:val="24"/>
          <w:szCs w:val="24"/>
          <w:rtl/>
        </w:rPr>
        <w:t>ליתן</w:t>
      </w:r>
      <w:proofErr w:type="spellEnd"/>
      <w:r w:rsidRPr="005E0824">
        <w:rPr>
          <w:rFonts w:ascii="Arial" w:eastAsia="Times New Roman" w:hAnsi="Arial" w:cs="David"/>
          <w:sz w:val="24"/>
          <w:szCs w:val="24"/>
          <w:rtl/>
        </w:rPr>
        <w:t xml:space="preserve"> צו חוסם כנגד בעל דין טרדן. הסדרים שכאלה קיימים באנגליה, אוסטרליה, ניו זילנד, קנדה ובחלק ממדינות ארה"ב</w:t>
      </w:r>
      <w:r w:rsidRPr="005E0824">
        <w:rPr>
          <w:rFonts w:ascii="Arial" w:eastAsia="Times New Roman" w:hAnsi="Arial" w:cs="David" w:hint="cs"/>
          <w:sz w:val="24"/>
          <w:szCs w:val="24"/>
          <w:rtl/>
        </w:rPr>
        <w:t xml:space="preserve"> ונקבעו בחוק</w:t>
      </w:r>
      <w:r w:rsidRPr="005E0824">
        <w:rPr>
          <w:rFonts w:ascii="Arial" w:eastAsia="Times New Roman" w:hAnsi="Arial" w:cs="David"/>
          <w:sz w:val="24"/>
          <w:szCs w:val="24"/>
          <w:rtl/>
        </w:rPr>
        <w:t xml:space="preserve">. </w:t>
      </w:r>
      <w:r w:rsidRPr="005E0824">
        <w:rPr>
          <w:rFonts w:ascii="Arial" w:eastAsia="Times New Roman" w:hAnsi="Arial" w:cs="David" w:hint="cs"/>
          <w:sz w:val="24"/>
          <w:szCs w:val="24"/>
          <w:rtl/>
        </w:rPr>
        <w:t xml:space="preserve">יחד עם זאת, </w:t>
      </w:r>
      <w:r w:rsidRPr="005E0824">
        <w:rPr>
          <w:rFonts w:ascii="Arial" w:eastAsia="Times New Roman" w:hAnsi="Arial" w:cs="David"/>
          <w:sz w:val="24"/>
          <w:szCs w:val="24"/>
          <w:rtl/>
        </w:rPr>
        <w:t xml:space="preserve">בכל המקרים נדרש </w:t>
      </w:r>
      <w:r w:rsidRPr="005E0824">
        <w:rPr>
          <w:rFonts w:ascii="Arial" w:eastAsia="Times New Roman" w:hAnsi="Arial" w:cs="David" w:hint="cs"/>
          <w:sz w:val="24"/>
          <w:szCs w:val="24"/>
          <w:rtl/>
        </w:rPr>
        <w:t xml:space="preserve">כי יתקיימו מספר </w:t>
      </w:r>
      <w:r w:rsidRPr="005E0824">
        <w:rPr>
          <w:rFonts w:ascii="Arial" w:eastAsia="Times New Roman" w:hAnsi="Arial" w:cs="David"/>
          <w:sz w:val="24"/>
          <w:szCs w:val="24"/>
          <w:rtl/>
        </w:rPr>
        <w:t xml:space="preserve">תנאים מקדימים, ובין היתר </w:t>
      </w:r>
      <w:r w:rsidRPr="005E0824">
        <w:rPr>
          <w:rFonts w:ascii="Arial" w:eastAsia="Times New Roman" w:hAnsi="Arial" w:cs="David" w:hint="cs"/>
          <w:sz w:val="24"/>
          <w:szCs w:val="24"/>
          <w:rtl/>
        </w:rPr>
        <w:t>ש</w:t>
      </w:r>
      <w:r w:rsidRPr="005E0824">
        <w:rPr>
          <w:rFonts w:ascii="Arial" w:eastAsia="Times New Roman" w:hAnsi="Arial" w:cs="David"/>
          <w:sz w:val="24"/>
          <w:szCs w:val="24"/>
          <w:rtl/>
        </w:rPr>
        <w:t xml:space="preserve">בעל </w:t>
      </w:r>
      <w:r w:rsidRPr="005E0824">
        <w:rPr>
          <w:rFonts w:ascii="Arial" w:eastAsia="Times New Roman" w:hAnsi="Arial" w:cs="David" w:hint="cs"/>
          <w:sz w:val="24"/>
          <w:szCs w:val="24"/>
          <w:rtl/>
        </w:rPr>
        <w:t>ה</w:t>
      </w:r>
      <w:r w:rsidRPr="005E0824">
        <w:rPr>
          <w:rFonts w:ascii="Arial" w:eastAsia="Times New Roman" w:hAnsi="Arial" w:cs="David"/>
          <w:sz w:val="24"/>
          <w:szCs w:val="24"/>
          <w:rtl/>
        </w:rPr>
        <w:t>דין</w:t>
      </w:r>
      <w:r w:rsidRPr="005E0824">
        <w:rPr>
          <w:rFonts w:ascii="Arial" w:eastAsia="Times New Roman" w:hAnsi="Arial" w:cs="David" w:hint="cs"/>
          <w:sz w:val="24"/>
          <w:szCs w:val="24"/>
          <w:rtl/>
        </w:rPr>
        <w:t xml:space="preserve"> יוכרז</w:t>
      </w:r>
      <w:r w:rsidRPr="005E0824">
        <w:rPr>
          <w:rFonts w:ascii="Arial" w:eastAsia="Times New Roman" w:hAnsi="Arial" w:cs="David"/>
          <w:sz w:val="24"/>
          <w:szCs w:val="24"/>
          <w:rtl/>
        </w:rPr>
        <w:t xml:space="preserve"> כ"טרדן", כשהגדרת המונח נקבעה אף היא בחקיקה. </w:t>
      </w:r>
    </w:p>
    <w:p w:rsidR="005E0824" w:rsidRPr="005E0824" w:rsidRDefault="005E0824" w:rsidP="005E0824">
      <w:pPr>
        <w:spacing w:after="0" w:line="360" w:lineRule="auto"/>
        <w:ind w:left="567" w:hanging="567"/>
        <w:jc w:val="both"/>
        <w:rPr>
          <w:rFonts w:ascii="Times New Roman" w:eastAsia="Times New Roman" w:hAnsi="Times New Roman" w:cs="David" w:hint="cs"/>
          <w:sz w:val="24"/>
          <w:szCs w:val="24"/>
          <w:rtl/>
        </w:rPr>
      </w:pPr>
      <w:r w:rsidRPr="005E0824">
        <w:rPr>
          <w:rFonts w:ascii="Times New Roman" w:eastAsia="Times New Roman" w:hAnsi="Times New Roman" w:cs="David" w:hint="cs"/>
          <w:sz w:val="24"/>
          <w:szCs w:val="24"/>
          <w:rtl/>
        </w:rPr>
        <w:tab/>
      </w:r>
    </w:p>
    <w:p w:rsidR="005E0824" w:rsidRPr="005E0824" w:rsidRDefault="005E0824" w:rsidP="005E0824">
      <w:pPr>
        <w:spacing w:after="0" w:line="360" w:lineRule="auto"/>
        <w:jc w:val="both"/>
        <w:rPr>
          <w:rFonts w:ascii="Times New Roman" w:eastAsia="Times New Roman" w:hAnsi="Times New Roman" w:cs="David" w:hint="cs"/>
          <w:sz w:val="24"/>
          <w:szCs w:val="24"/>
          <w:rtl/>
        </w:rPr>
      </w:pPr>
      <w:r w:rsidRPr="005E0824">
        <w:rPr>
          <w:rFonts w:ascii="Times New Roman" w:eastAsia="Times New Roman" w:hAnsi="Times New Roman" w:cs="David" w:hint="cs"/>
          <w:sz w:val="24"/>
          <w:szCs w:val="24"/>
          <w:rtl/>
        </w:rPr>
        <w:t>לפי ההסדר הקיים ב</w:t>
      </w:r>
      <w:r w:rsidRPr="005E0824">
        <w:rPr>
          <w:rFonts w:ascii="Times New Roman" w:eastAsia="Times New Roman" w:hAnsi="Times New Roman" w:cs="David" w:hint="cs"/>
          <w:b/>
          <w:bCs/>
          <w:sz w:val="24"/>
          <w:szCs w:val="24"/>
          <w:u w:val="single"/>
          <w:rtl/>
        </w:rPr>
        <w:t>אנגליה</w:t>
      </w:r>
      <w:r w:rsidRPr="005E0824">
        <w:rPr>
          <w:rFonts w:ascii="Times New Roman" w:eastAsia="Times New Roman" w:hAnsi="Times New Roman" w:cs="David"/>
          <w:sz w:val="24"/>
          <w:szCs w:val="24"/>
          <w:vertAlign w:val="superscript"/>
          <w:rtl/>
        </w:rPr>
        <w:footnoteReference w:id="1"/>
      </w:r>
      <w:r w:rsidRPr="005E0824">
        <w:rPr>
          <w:rFonts w:ascii="Times New Roman" w:eastAsia="Times New Roman" w:hAnsi="Times New Roman" w:cs="David" w:hint="cs"/>
          <w:sz w:val="24"/>
          <w:szCs w:val="24"/>
          <w:rtl/>
        </w:rPr>
        <w:t xml:space="preserve">, החלטה בעניין צו חוסם תינתן על ידי בית המשפט העליון בלבד ועל יסוד פנייה של ראש התביעה (ה- </w:t>
      </w:r>
      <w:r w:rsidRPr="005E0824">
        <w:rPr>
          <w:rFonts w:ascii="Times New Roman" w:eastAsia="Times New Roman" w:hAnsi="Times New Roman" w:cs="David"/>
          <w:sz w:val="24"/>
          <w:szCs w:val="24"/>
        </w:rPr>
        <w:t>Attorney general"</w:t>
      </w:r>
      <w:r w:rsidRPr="005E0824">
        <w:rPr>
          <w:rFonts w:ascii="Times New Roman" w:eastAsia="Times New Roman" w:hAnsi="Times New Roman" w:cs="David" w:hint="cs"/>
          <w:sz w:val="24"/>
          <w:szCs w:val="24"/>
          <w:rtl/>
        </w:rPr>
        <w:t xml:space="preserve">" כפי שמוגדר בדברי החקיקה בדין הזר). בית המשפט העליון רשאי </w:t>
      </w:r>
      <w:proofErr w:type="spellStart"/>
      <w:r w:rsidRPr="005E0824">
        <w:rPr>
          <w:rFonts w:ascii="Times New Roman" w:eastAsia="Times New Roman" w:hAnsi="Times New Roman" w:cs="David" w:hint="cs"/>
          <w:sz w:val="24"/>
          <w:szCs w:val="24"/>
          <w:rtl/>
        </w:rPr>
        <w:t>ליתן</w:t>
      </w:r>
      <w:proofErr w:type="spellEnd"/>
      <w:r w:rsidRPr="005E0824">
        <w:rPr>
          <w:rFonts w:ascii="Times New Roman" w:eastAsia="Times New Roman" w:hAnsi="Times New Roman" w:cs="David" w:hint="cs"/>
          <w:sz w:val="24"/>
          <w:szCs w:val="24"/>
          <w:rtl/>
        </w:rPr>
        <w:t xml:space="preserve"> צו חוסם כנגד אדם אם נוכח בית המשפט שהוא מגיש תובענה טרדנית באופן סדרתי ומתמיד וללא כל עילה מוצדקת, הן בבית המשפט העליון והן בערכאה נמוכה יותר, נגד אותו אדם או נגד אנשים שונים. צו חוסם משמעו כי אותו בעל דין טרדן לא יוכל להגיש הליך אזרחי ללא רשות בית המשפט העליון, וכן הליכים שהוגשו לפני הצו לא ימשכו עד שיינתן היתר כאמור על ידי בית המשפט.</w:t>
      </w:r>
    </w:p>
    <w:p w:rsidR="005E0824" w:rsidRPr="005E0824" w:rsidRDefault="005E0824" w:rsidP="005E0824">
      <w:pPr>
        <w:spacing w:after="0" w:line="360" w:lineRule="auto"/>
        <w:ind w:left="567" w:hanging="567"/>
        <w:jc w:val="both"/>
        <w:rPr>
          <w:rFonts w:ascii="Times New Roman" w:eastAsia="Times New Roman" w:hAnsi="Times New Roman" w:cs="David" w:hint="cs"/>
          <w:sz w:val="24"/>
          <w:szCs w:val="24"/>
          <w:rtl/>
        </w:rPr>
      </w:pPr>
    </w:p>
    <w:p w:rsidR="005E0824" w:rsidRPr="005E0824" w:rsidRDefault="005E0824" w:rsidP="005E0824">
      <w:pPr>
        <w:spacing w:after="0" w:line="360" w:lineRule="auto"/>
        <w:ind w:left="-58"/>
        <w:jc w:val="both"/>
        <w:rPr>
          <w:rFonts w:ascii="Times New Roman" w:eastAsia="Times New Roman" w:hAnsi="Times New Roman" w:cs="David" w:hint="cs"/>
          <w:sz w:val="24"/>
          <w:szCs w:val="24"/>
          <w:rtl/>
        </w:rPr>
      </w:pPr>
      <w:r w:rsidRPr="005E0824">
        <w:rPr>
          <w:rFonts w:ascii="Times New Roman" w:eastAsia="Times New Roman" w:hAnsi="Times New Roman" w:cs="David" w:hint="cs"/>
          <w:sz w:val="24"/>
          <w:szCs w:val="24"/>
          <w:rtl/>
        </w:rPr>
        <w:t>גם ב</w:t>
      </w:r>
      <w:r w:rsidRPr="005E0824">
        <w:rPr>
          <w:rFonts w:ascii="Times New Roman" w:eastAsia="Times New Roman" w:hAnsi="Times New Roman" w:cs="David" w:hint="cs"/>
          <w:b/>
          <w:bCs/>
          <w:sz w:val="24"/>
          <w:szCs w:val="24"/>
          <w:u w:val="single"/>
          <w:rtl/>
        </w:rPr>
        <w:t>קנדה</w:t>
      </w:r>
      <w:r w:rsidRPr="005E0824">
        <w:rPr>
          <w:rFonts w:ascii="Times New Roman" w:eastAsia="Times New Roman" w:hAnsi="Times New Roman" w:cs="David"/>
          <w:sz w:val="24"/>
          <w:szCs w:val="24"/>
          <w:vertAlign w:val="superscript"/>
          <w:rtl/>
        </w:rPr>
        <w:footnoteReference w:id="2"/>
      </w:r>
      <w:r w:rsidRPr="005E0824">
        <w:rPr>
          <w:rFonts w:ascii="Times New Roman" w:eastAsia="Times New Roman" w:hAnsi="Times New Roman" w:cs="David" w:hint="cs"/>
          <w:sz w:val="24"/>
          <w:szCs w:val="24"/>
          <w:rtl/>
        </w:rPr>
        <w:t xml:space="preserve"> עוגנה הוראה כאמור בחוק והאינסטנצי</w:t>
      </w:r>
      <w:r w:rsidRPr="005E0824">
        <w:rPr>
          <w:rFonts w:ascii="Times New Roman" w:eastAsia="Times New Roman" w:hAnsi="Times New Roman" w:cs="David" w:hint="eastAsia"/>
          <w:sz w:val="24"/>
          <w:szCs w:val="24"/>
          <w:rtl/>
        </w:rPr>
        <w:t>ה</w:t>
      </w:r>
      <w:r w:rsidRPr="005E0824">
        <w:rPr>
          <w:rFonts w:ascii="Times New Roman" w:eastAsia="Times New Roman" w:hAnsi="Times New Roman" w:cs="David" w:hint="cs"/>
          <w:sz w:val="24"/>
          <w:szCs w:val="24"/>
          <w:rtl/>
        </w:rPr>
        <w:t xml:space="preserve"> הגבוהה ביותר (בית המשפט הערעורים הפדרלי או בית המשפט הפדרלי) הוסמכה </w:t>
      </w:r>
      <w:proofErr w:type="spellStart"/>
      <w:r w:rsidRPr="005E0824">
        <w:rPr>
          <w:rFonts w:ascii="Times New Roman" w:eastAsia="Times New Roman" w:hAnsi="Times New Roman" w:cs="David" w:hint="cs"/>
          <w:sz w:val="24"/>
          <w:szCs w:val="24"/>
          <w:rtl/>
        </w:rPr>
        <w:t>ליתן</w:t>
      </w:r>
      <w:proofErr w:type="spellEnd"/>
      <w:r w:rsidRPr="005E0824">
        <w:rPr>
          <w:rFonts w:ascii="Times New Roman" w:eastAsia="Times New Roman" w:hAnsi="Times New Roman" w:cs="David" w:hint="cs"/>
          <w:sz w:val="24"/>
          <w:szCs w:val="24"/>
          <w:rtl/>
        </w:rPr>
        <w:t xml:space="preserve"> צו חוסם על פי בקשה של ראש התביעה. בשונה מאנגליה, הצו </w:t>
      </w:r>
      <w:proofErr w:type="spellStart"/>
      <w:r w:rsidRPr="005E0824">
        <w:rPr>
          <w:rFonts w:ascii="Times New Roman" w:eastAsia="Times New Roman" w:hAnsi="Times New Roman" w:cs="David" w:hint="cs"/>
          <w:sz w:val="24"/>
          <w:szCs w:val="24"/>
          <w:rtl/>
        </w:rPr>
        <w:t>ינתן</w:t>
      </w:r>
      <w:proofErr w:type="spellEnd"/>
      <w:r w:rsidRPr="005E0824">
        <w:rPr>
          <w:rFonts w:ascii="Times New Roman" w:eastAsia="Times New Roman" w:hAnsi="Times New Roman" w:cs="David" w:hint="cs"/>
          <w:sz w:val="24"/>
          <w:szCs w:val="24"/>
          <w:rtl/>
        </w:rPr>
        <w:t xml:space="preserve"> רק </w:t>
      </w:r>
      <w:r w:rsidRPr="005E0824">
        <w:rPr>
          <w:rFonts w:ascii="Times New Roman" w:eastAsia="Times New Roman" w:hAnsi="Times New Roman" w:cs="David" w:hint="cs"/>
          <w:sz w:val="24"/>
          <w:szCs w:val="24"/>
          <w:u w:val="single"/>
          <w:rtl/>
        </w:rPr>
        <w:t>באותו בית משפט</w:t>
      </w:r>
      <w:r w:rsidRPr="005E0824">
        <w:rPr>
          <w:rFonts w:ascii="Times New Roman" w:eastAsia="Times New Roman" w:hAnsi="Times New Roman" w:cs="David" w:hint="cs"/>
          <w:sz w:val="24"/>
          <w:szCs w:val="24"/>
          <w:rtl/>
        </w:rPr>
        <w:t xml:space="preserve"> שבו הוגשו הליכים טרדניים. הצו יחול הן על הליכים משפטיים עתידים והן על הליכים קיימים אשר לגביהם, כמו באנגליה, ייקבע כי לא יימשכו אלא ברשות. קיימת זכות לעיון מחדש (בקשה לביטול הצו באותו בית משפט). כמו כן, ישנה הוראה המתווה את שיקול דעת בית המשפט לעניין הנסיבות שבהן תינתן רשות להגשת תובענה כאשר ניתן צו חוסם כנגד בעל דין טרדן, לפיה בית המשפט יתיר הגשת תובענה או המשך דיון בה אם נוכח שהתובענה איננה בבחינת שימוש לרעה בהליך המשפטי ושיש לתובענה עילה מוצדקת.</w:t>
      </w:r>
    </w:p>
    <w:p w:rsidR="005E0824" w:rsidRPr="005E0824" w:rsidRDefault="005E0824" w:rsidP="005E0824">
      <w:pPr>
        <w:spacing w:after="0" w:line="360" w:lineRule="auto"/>
        <w:ind w:left="567"/>
        <w:jc w:val="both"/>
        <w:rPr>
          <w:rFonts w:ascii="Times New Roman" w:eastAsia="Times New Roman" w:hAnsi="Times New Roman" w:cs="David" w:hint="cs"/>
          <w:sz w:val="24"/>
          <w:szCs w:val="24"/>
          <w:rtl/>
        </w:rPr>
      </w:pPr>
    </w:p>
    <w:p w:rsidR="005E0824" w:rsidRPr="005E0824" w:rsidRDefault="005E0824" w:rsidP="005E0824">
      <w:pPr>
        <w:spacing w:after="0" w:line="360" w:lineRule="auto"/>
        <w:jc w:val="both"/>
        <w:rPr>
          <w:rFonts w:ascii="Times New Roman" w:eastAsia="Times New Roman" w:hAnsi="Times New Roman" w:cs="David" w:hint="cs"/>
          <w:sz w:val="24"/>
          <w:szCs w:val="24"/>
          <w:rtl/>
        </w:rPr>
      </w:pPr>
      <w:r w:rsidRPr="005E0824">
        <w:rPr>
          <w:rFonts w:ascii="Times New Roman" w:eastAsia="Times New Roman" w:hAnsi="Times New Roman" w:cs="David" w:hint="cs"/>
          <w:b/>
          <w:bCs/>
          <w:sz w:val="24"/>
          <w:szCs w:val="24"/>
          <w:u w:val="single"/>
          <w:rtl/>
        </w:rPr>
        <w:t>בניו זילנד</w:t>
      </w:r>
      <w:r w:rsidRPr="005E0824">
        <w:rPr>
          <w:rFonts w:ascii="Times New Roman" w:eastAsia="Times New Roman" w:hAnsi="Times New Roman" w:cs="David"/>
          <w:sz w:val="24"/>
          <w:szCs w:val="24"/>
          <w:vertAlign w:val="superscript"/>
          <w:rtl/>
        </w:rPr>
        <w:footnoteReference w:id="3"/>
      </w:r>
      <w:r w:rsidRPr="005E0824">
        <w:rPr>
          <w:rFonts w:ascii="Times New Roman" w:eastAsia="Times New Roman" w:hAnsi="Times New Roman" w:cs="David" w:hint="cs"/>
          <w:sz w:val="24"/>
          <w:szCs w:val="24"/>
          <w:rtl/>
        </w:rPr>
        <w:t xml:space="preserve"> ההוראה הקיימת משלבת את שני ההסדרים הקיימים באנגליה ובקנדה. גם כאן, הצו יינתן על ידי בית המשפט העליון ולבקשת ראש התביעה ויחול על כל בתי המשפט (בדומה לאנגליה), וכן ישנה הוראה המתווה את שיקול דעת בית המשפט בעניין הנסיבות שבהן יתיר לבעל דין טרדן להגיש הליך משפטי כשיש נגדו צו חוסם (בדומה לקנדה).</w:t>
      </w:r>
    </w:p>
    <w:p w:rsidR="005E0824" w:rsidRPr="005E0824" w:rsidRDefault="005E0824" w:rsidP="005E0824">
      <w:pPr>
        <w:spacing w:after="0" w:line="360" w:lineRule="auto"/>
        <w:ind w:left="567"/>
        <w:jc w:val="both"/>
        <w:rPr>
          <w:rFonts w:ascii="Times New Roman" w:eastAsia="Times New Roman" w:hAnsi="Times New Roman" w:cs="David" w:hint="cs"/>
          <w:sz w:val="24"/>
          <w:szCs w:val="24"/>
          <w:rtl/>
        </w:rPr>
      </w:pPr>
    </w:p>
    <w:p w:rsidR="005E0824" w:rsidRPr="005E0824" w:rsidRDefault="005E0824" w:rsidP="005E0824">
      <w:pPr>
        <w:spacing w:after="0" w:line="360" w:lineRule="auto"/>
        <w:jc w:val="both"/>
        <w:rPr>
          <w:rFonts w:ascii="Times New Roman" w:eastAsia="Times New Roman" w:hAnsi="Times New Roman" w:cs="David" w:hint="cs"/>
          <w:sz w:val="24"/>
          <w:szCs w:val="24"/>
          <w:rtl/>
        </w:rPr>
      </w:pPr>
      <w:r w:rsidRPr="005E0824">
        <w:rPr>
          <w:rFonts w:ascii="Times New Roman" w:eastAsia="Times New Roman" w:hAnsi="Times New Roman" w:cs="David" w:hint="cs"/>
          <w:sz w:val="24"/>
          <w:szCs w:val="24"/>
          <w:rtl/>
        </w:rPr>
        <w:t xml:space="preserve">יצוין, שבכל המדינות יש הוראה לפיה לא ניתן להגיש ערעור על החלטה המעניקה רשות להגשת תובענה על ידי בעל דין שניתן נגדו צו חוסם. באנגליה, לעומת זאת, נקבע שלא ניתן לערער דווקא על החלטה שבמסגרתה סירב בית המשפט </w:t>
      </w:r>
      <w:proofErr w:type="spellStart"/>
      <w:r w:rsidRPr="005E0824">
        <w:rPr>
          <w:rFonts w:ascii="Times New Roman" w:eastAsia="Times New Roman" w:hAnsi="Times New Roman" w:cs="David" w:hint="cs"/>
          <w:sz w:val="24"/>
          <w:szCs w:val="24"/>
          <w:rtl/>
        </w:rPr>
        <w:t>ליתן</w:t>
      </w:r>
      <w:proofErr w:type="spellEnd"/>
      <w:r w:rsidRPr="005E0824">
        <w:rPr>
          <w:rFonts w:ascii="Times New Roman" w:eastAsia="Times New Roman" w:hAnsi="Times New Roman" w:cs="David" w:hint="cs"/>
          <w:sz w:val="24"/>
          <w:szCs w:val="24"/>
          <w:rtl/>
        </w:rPr>
        <w:t xml:space="preserve"> רשות להגשת תובענה בנסיבות כאמור. </w:t>
      </w:r>
    </w:p>
    <w:p w:rsidR="005E0824" w:rsidRPr="005E0824" w:rsidRDefault="005E0824" w:rsidP="005E0824">
      <w:pPr>
        <w:autoSpaceDE w:val="0"/>
        <w:autoSpaceDN w:val="0"/>
        <w:adjustRightInd w:val="0"/>
        <w:spacing w:after="0" w:line="360" w:lineRule="auto"/>
        <w:jc w:val="both"/>
        <w:rPr>
          <w:rFonts w:ascii="Times New Roman" w:eastAsia="Times New Roman" w:hAnsi="Times New Roman" w:cs="David" w:hint="cs"/>
          <w:sz w:val="24"/>
          <w:szCs w:val="24"/>
          <w:rtl/>
        </w:rPr>
      </w:pPr>
    </w:p>
    <w:p w:rsidR="005E0824" w:rsidRPr="005E0824" w:rsidRDefault="005E0824" w:rsidP="005E0824">
      <w:pPr>
        <w:autoSpaceDE w:val="0"/>
        <w:autoSpaceDN w:val="0"/>
        <w:adjustRightInd w:val="0"/>
        <w:spacing w:after="0" w:line="360" w:lineRule="auto"/>
        <w:jc w:val="both"/>
        <w:rPr>
          <w:rFonts w:ascii="Times New Roman" w:eastAsia="Times New Roman" w:hAnsi="Times New Roman" w:cs="David" w:hint="cs"/>
          <w:sz w:val="24"/>
          <w:szCs w:val="24"/>
          <w:rtl/>
        </w:rPr>
      </w:pPr>
      <w:r w:rsidRPr="005E0824">
        <w:rPr>
          <w:rFonts w:ascii="Times New Roman" w:eastAsia="Times New Roman" w:hAnsi="Times New Roman" w:cs="David" w:hint="cs"/>
          <w:sz w:val="24"/>
          <w:szCs w:val="24"/>
          <w:rtl/>
        </w:rPr>
        <w:t xml:space="preserve">בדברי ההסבר לחוק הניו </w:t>
      </w:r>
      <w:proofErr w:type="spellStart"/>
      <w:r w:rsidRPr="005E0824">
        <w:rPr>
          <w:rFonts w:ascii="Times New Roman" w:eastAsia="Times New Roman" w:hAnsi="Times New Roman" w:cs="David" w:hint="cs"/>
          <w:sz w:val="24"/>
          <w:szCs w:val="24"/>
          <w:rtl/>
        </w:rPr>
        <w:t>זילנדי</w:t>
      </w:r>
      <w:proofErr w:type="spellEnd"/>
      <w:r w:rsidRPr="005E0824">
        <w:rPr>
          <w:rFonts w:ascii="Times New Roman" w:eastAsia="Times New Roman" w:hAnsi="Times New Roman" w:cs="David" w:hint="cs"/>
          <w:sz w:val="24"/>
          <w:szCs w:val="24"/>
          <w:rtl/>
        </w:rPr>
        <w:t xml:space="preserve"> נאמר כי ראש התביעה משמש כ"שומר סף" לצורך הגשת בקשות מסוג זה. בהכרזה על בעל דין כטרדן יש משום פגיעה בזכות הגישה לערכאות. במובן זה הטלת מגבלה על מיהות הגורמים שרשאים לבקש צו כאמור משמשת כ"מסננת" וראש התביעה הוא בבחינת שומר הסף לעניין זה. בנוסף, הגבלת הפנייה לבית המשפט העליון בעניין זה מונעת את הסיכון שבקשות כאמור יוגשו על ידי צדדים שישתמשו בסמכות זו לרעה ממניעים טקטיים או ככלי לאסטרטגיה דיונית.</w:t>
      </w:r>
    </w:p>
    <w:p w:rsidR="005E0824" w:rsidRPr="005E0824" w:rsidRDefault="005E0824" w:rsidP="005E0824">
      <w:pPr>
        <w:autoSpaceDE w:val="0"/>
        <w:autoSpaceDN w:val="0"/>
        <w:adjustRightInd w:val="0"/>
        <w:spacing w:after="0" w:line="360" w:lineRule="auto"/>
        <w:jc w:val="both"/>
        <w:rPr>
          <w:rFonts w:ascii="Times New Roman" w:eastAsia="Times New Roman" w:hAnsi="Times New Roman" w:cs="David" w:hint="cs"/>
          <w:sz w:val="24"/>
          <w:szCs w:val="24"/>
          <w:rtl/>
        </w:rPr>
      </w:pPr>
    </w:p>
    <w:p w:rsidR="005E0824" w:rsidRDefault="005E0824" w:rsidP="005E0824">
      <w:pPr>
        <w:autoSpaceDE w:val="0"/>
        <w:autoSpaceDN w:val="0"/>
        <w:adjustRightInd w:val="0"/>
        <w:spacing w:after="0" w:line="360" w:lineRule="auto"/>
        <w:jc w:val="both"/>
        <w:rPr>
          <w:rFonts w:ascii="Times New Roman" w:eastAsia="Times New Roman" w:hAnsi="Times New Roman" w:cs="David" w:hint="cs"/>
          <w:sz w:val="24"/>
          <w:szCs w:val="24"/>
          <w:rtl/>
        </w:rPr>
      </w:pPr>
      <w:proofErr w:type="spellStart"/>
      <w:r w:rsidRPr="005E0824">
        <w:rPr>
          <w:rFonts w:ascii="Times New Roman" w:eastAsia="Times New Roman" w:hAnsi="Times New Roman" w:cs="David" w:hint="cs"/>
          <w:b/>
          <w:bCs/>
          <w:sz w:val="24"/>
          <w:szCs w:val="24"/>
          <w:rtl/>
        </w:rPr>
        <w:t>בויקטוריה</w:t>
      </w:r>
      <w:proofErr w:type="spellEnd"/>
      <w:r w:rsidRPr="005E0824">
        <w:rPr>
          <w:rFonts w:ascii="Times New Roman" w:eastAsia="Times New Roman" w:hAnsi="Times New Roman" w:cs="David" w:hint="cs"/>
          <w:b/>
          <w:bCs/>
          <w:sz w:val="24"/>
          <w:szCs w:val="24"/>
          <w:rtl/>
        </w:rPr>
        <w:t xml:space="preserve"> שבאוסטרליה</w:t>
      </w:r>
      <w:r w:rsidRPr="005E0824">
        <w:rPr>
          <w:rFonts w:ascii="Times New Roman" w:eastAsia="Times New Roman" w:hAnsi="Times New Roman" w:cs="David"/>
          <w:sz w:val="24"/>
          <w:szCs w:val="24"/>
          <w:vertAlign w:val="superscript"/>
          <w:rtl/>
        </w:rPr>
        <w:footnoteReference w:id="4"/>
      </w:r>
      <w:r w:rsidRPr="005E0824">
        <w:rPr>
          <w:rFonts w:ascii="Times New Roman" w:eastAsia="Times New Roman" w:hAnsi="Times New Roman" w:cs="David" w:hint="cs"/>
          <w:sz w:val="24"/>
          <w:szCs w:val="24"/>
          <w:rtl/>
        </w:rPr>
        <w:t xml:space="preserve"> נחקק חוק בשנת 2014 שנועד לתת מענה לתופעה של תובעים סדרתיים.</w:t>
      </w:r>
    </w:p>
    <w:p w:rsidR="005E0824" w:rsidRPr="005E0824" w:rsidRDefault="005E0824" w:rsidP="005E0824">
      <w:pPr>
        <w:autoSpaceDE w:val="0"/>
        <w:autoSpaceDN w:val="0"/>
        <w:adjustRightInd w:val="0"/>
        <w:spacing w:after="0" w:line="360" w:lineRule="auto"/>
        <w:jc w:val="both"/>
        <w:rPr>
          <w:rFonts w:ascii="Times New Roman" w:eastAsia="Times New Roman" w:hAnsi="Times New Roman" w:cs="David" w:hint="cs"/>
          <w:sz w:val="24"/>
          <w:szCs w:val="24"/>
          <w:rtl/>
        </w:rPr>
      </w:pPr>
    </w:p>
    <w:p w:rsidR="005E0824" w:rsidRPr="005E0824" w:rsidRDefault="005E0824" w:rsidP="005E0824">
      <w:pPr>
        <w:autoSpaceDE w:val="0"/>
        <w:autoSpaceDN w:val="0"/>
        <w:adjustRightInd w:val="0"/>
        <w:spacing w:after="0" w:line="360" w:lineRule="auto"/>
        <w:jc w:val="both"/>
        <w:rPr>
          <w:rFonts w:ascii="Times New Roman" w:eastAsia="Times New Roman" w:hAnsi="Times New Roman" w:cs="David" w:hint="cs"/>
          <w:sz w:val="24"/>
          <w:szCs w:val="24"/>
          <w:rtl/>
        </w:rPr>
      </w:pPr>
      <w:r w:rsidRPr="005E0824">
        <w:rPr>
          <w:rFonts w:ascii="Times New Roman" w:eastAsia="Times New Roman" w:hAnsi="Times New Roman" w:cs="David" w:hint="cs"/>
          <w:sz w:val="24"/>
          <w:szCs w:val="24"/>
          <w:rtl/>
        </w:rPr>
        <w:t>על רקע זה, ובעקבות ההסדרים הקיימים במדינות המשפט המקובל, נבחנה השאלה האם נכון לקבוע שה-</w:t>
      </w:r>
      <w:r w:rsidRPr="005E0824">
        <w:rPr>
          <w:rFonts w:ascii="Times New Roman" w:eastAsia="Times New Roman" w:hAnsi="Times New Roman" w:cs="David"/>
          <w:sz w:val="24"/>
          <w:szCs w:val="24"/>
        </w:rPr>
        <w:t xml:space="preserve"> "Attorney general" </w:t>
      </w:r>
      <w:r w:rsidRPr="005E0824">
        <w:rPr>
          <w:rFonts w:ascii="Times New Roman" w:eastAsia="Times New Roman" w:hAnsi="Times New Roman" w:cs="David" w:hint="cs"/>
          <w:sz w:val="24"/>
          <w:szCs w:val="24"/>
          <w:rtl/>
        </w:rPr>
        <w:t xml:space="preserve"> (ראש התביעה לפי שיטת המשפט הנהוגה) יהא הגורם היחיד שמוסמך לפנות לבית המשפט בבקשה להכריז על תובע כתובע טרדן. נמצא כי יש טעם רב בכך שישנו גורם שלישי בדמות ראש התביעה שמגיש בקשה מסוג זה. מעורבותו מבטאת את החשיבות והרצינות שמיוחסת לבקשה מן הסוג הזה, אשר יש בה כדי לפגוע בזכות הגישה לערכאות. לכן, פנייה בעניין זה תעשה רק בנסיבות קיצוניות מאד ולאחר שראש התביעה שקל זאת בהתאם. האובייקטיביות של ראש התביעה מבטיחה יישום הוגן יותר של הדין, בין השאר, על בסיס הדרישות שלפי החוק ומבטיחה כי הפניות לבית המשפט ייעשו בזהירות ובמשורה. מאידך, הונחה הסברה לפיה לבעל הדין יש תמריץ טוב יותר לפנות לבית המשפט בהליך כאמור ואינטרס להניעו.</w:t>
      </w:r>
    </w:p>
    <w:p w:rsidR="005E0824" w:rsidRDefault="005E0824" w:rsidP="005E0824">
      <w:pPr>
        <w:autoSpaceDE w:val="0"/>
        <w:autoSpaceDN w:val="0"/>
        <w:adjustRightInd w:val="0"/>
        <w:spacing w:after="0" w:line="360" w:lineRule="auto"/>
        <w:jc w:val="both"/>
        <w:rPr>
          <w:rFonts w:ascii="FrutigerMaori-Bold" w:cs="FrutigerMaori-Bold" w:hint="cs"/>
          <w:b/>
          <w:bCs/>
          <w:color w:val="004D44"/>
          <w:sz w:val="23"/>
          <w:szCs w:val="23"/>
          <w:rtl/>
        </w:rPr>
      </w:pPr>
    </w:p>
    <w:p w:rsidR="005E0824" w:rsidRPr="005E0824" w:rsidRDefault="005E0824" w:rsidP="005E0824">
      <w:pPr>
        <w:autoSpaceDE w:val="0"/>
        <w:autoSpaceDN w:val="0"/>
        <w:adjustRightInd w:val="0"/>
        <w:spacing w:after="0" w:line="360" w:lineRule="auto"/>
        <w:jc w:val="both"/>
        <w:rPr>
          <w:rFonts w:ascii="Times New Roman" w:eastAsia="Times New Roman" w:hAnsi="Times New Roman" w:cs="David" w:hint="cs"/>
          <w:sz w:val="24"/>
          <w:szCs w:val="24"/>
          <w:rtl/>
        </w:rPr>
      </w:pPr>
      <w:r w:rsidRPr="005E0824">
        <w:rPr>
          <w:rFonts w:ascii="Times New Roman" w:eastAsia="Times New Roman" w:hAnsi="Times New Roman" w:cs="David" w:hint="cs"/>
          <w:sz w:val="24"/>
          <w:szCs w:val="24"/>
          <w:rtl/>
        </w:rPr>
        <w:t xml:space="preserve">כאמור לעיל, באנגליה, </w:t>
      </w:r>
      <w:proofErr w:type="spellStart"/>
      <w:r w:rsidRPr="005E0824">
        <w:rPr>
          <w:rFonts w:ascii="Times New Roman" w:eastAsia="Times New Roman" w:hAnsi="Times New Roman" w:cs="David" w:hint="cs"/>
          <w:sz w:val="24"/>
          <w:szCs w:val="24"/>
          <w:rtl/>
        </w:rPr>
        <w:t>ווילס</w:t>
      </w:r>
      <w:proofErr w:type="spellEnd"/>
      <w:r w:rsidRPr="005E0824">
        <w:rPr>
          <w:rFonts w:ascii="Times New Roman" w:eastAsia="Times New Roman" w:hAnsi="Times New Roman" w:cs="David" w:hint="cs"/>
          <w:sz w:val="24"/>
          <w:szCs w:val="24"/>
          <w:rtl/>
        </w:rPr>
        <w:t>, צפון אירלנד, סקוטלנד, קנדה וניו זילנד רק ראש התביעה מוסמך להגיש בקשה.  המצב המשפטי הבינלאומי תומך בגישה זהירה.</w:t>
      </w:r>
    </w:p>
    <w:p w:rsidR="005E0824" w:rsidRDefault="005E0824" w:rsidP="005E0824">
      <w:pPr>
        <w:autoSpaceDE w:val="0"/>
        <w:autoSpaceDN w:val="0"/>
        <w:adjustRightInd w:val="0"/>
        <w:spacing w:after="0" w:line="360" w:lineRule="auto"/>
        <w:jc w:val="both"/>
        <w:rPr>
          <w:rFonts w:ascii="Times New Roman" w:eastAsia="Times New Roman" w:hAnsi="Times New Roman" w:cs="David" w:hint="cs"/>
          <w:sz w:val="24"/>
          <w:szCs w:val="24"/>
          <w:rtl/>
        </w:rPr>
      </w:pPr>
    </w:p>
    <w:p w:rsidR="005E0824" w:rsidRPr="005E0824" w:rsidRDefault="005E0824" w:rsidP="005E0824">
      <w:pPr>
        <w:autoSpaceDE w:val="0"/>
        <w:autoSpaceDN w:val="0"/>
        <w:adjustRightInd w:val="0"/>
        <w:spacing w:after="0" w:line="360" w:lineRule="auto"/>
        <w:jc w:val="both"/>
        <w:rPr>
          <w:rFonts w:ascii="Times New Roman" w:eastAsia="Times New Roman" w:hAnsi="Times New Roman" w:cs="David" w:hint="cs"/>
          <w:sz w:val="24"/>
          <w:szCs w:val="24"/>
          <w:rtl/>
        </w:rPr>
      </w:pPr>
      <w:r w:rsidRPr="005E0824">
        <w:rPr>
          <w:rFonts w:ascii="Times New Roman" w:eastAsia="Times New Roman" w:hAnsi="Times New Roman" w:cs="David" w:hint="cs"/>
          <w:sz w:val="24"/>
          <w:szCs w:val="24"/>
          <w:rtl/>
        </w:rPr>
        <w:t xml:space="preserve">החוק שנחקק </w:t>
      </w:r>
      <w:proofErr w:type="spellStart"/>
      <w:r w:rsidRPr="005E0824">
        <w:rPr>
          <w:rFonts w:ascii="Times New Roman" w:eastAsia="Times New Roman" w:hAnsi="Times New Roman" w:cs="David" w:hint="cs"/>
          <w:sz w:val="24"/>
          <w:szCs w:val="24"/>
          <w:rtl/>
        </w:rPr>
        <w:t>בויקטוריה</w:t>
      </w:r>
      <w:proofErr w:type="spellEnd"/>
      <w:r w:rsidRPr="005E0824">
        <w:rPr>
          <w:rFonts w:ascii="Times New Roman" w:eastAsia="Times New Roman" w:hAnsi="Times New Roman" w:cs="David" w:hint="cs"/>
          <w:sz w:val="24"/>
          <w:szCs w:val="24"/>
          <w:rtl/>
        </w:rPr>
        <w:t xml:space="preserve"> כולל אפשרות למתן שלושה צווים "מדורגים" במידת החומרה וההגבלה על התובע הסדרתי.  הגורם המוסמך לפנות לבית המשפט נקבע בהתאם לדרגת החומרה של הסעד שניתן כנגד אותו על דין טרדן. הצו הראשון מונע מאדם להמשיך להגיש בקשות ביניים או סוגים מסוימים של בקשות ביניים בהליך מסוים והוא תקף עד שיסתיים ההליך והצו השני מונע מתובע סדרתי להגיש תובענה נגד אנשים מסוימים או בעניינים מסוימים; בקשה למתן צווים אלה יכולה להיות מוגשת על ידי ראש התביעה, בעל דין או כל בעל דין אחר שיש לו אינטרס מספיק בדבר. הצו השלישי נועד למנוע הגשת תובענות בכלל  והגורמים היחידים שמוסמכים לפתוח בהליך הם ראש התביעה או בית המשפט מיוזמתו. </w:t>
      </w:r>
    </w:p>
    <w:p w:rsidR="005E0824" w:rsidRDefault="005E0824" w:rsidP="005E0824">
      <w:pPr>
        <w:autoSpaceDE w:val="0"/>
        <w:autoSpaceDN w:val="0"/>
        <w:adjustRightInd w:val="0"/>
        <w:spacing w:after="0" w:line="360" w:lineRule="auto"/>
        <w:jc w:val="both"/>
        <w:rPr>
          <w:rFonts w:ascii="Times New Roman" w:eastAsia="Times New Roman" w:hAnsi="Times New Roman" w:cs="David" w:hint="cs"/>
          <w:sz w:val="24"/>
          <w:szCs w:val="24"/>
          <w:rtl/>
        </w:rPr>
      </w:pPr>
    </w:p>
    <w:p w:rsidR="005E0824" w:rsidRPr="005E0824" w:rsidRDefault="005E0824" w:rsidP="005E0824">
      <w:pPr>
        <w:autoSpaceDE w:val="0"/>
        <w:autoSpaceDN w:val="0"/>
        <w:adjustRightInd w:val="0"/>
        <w:spacing w:after="0" w:line="360" w:lineRule="auto"/>
        <w:jc w:val="both"/>
        <w:rPr>
          <w:rFonts w:ascii="Times New Roman" w:eastAsia="Times New Roman" w:hAnsi="Times New Roman" w:cs="David"/>
          <w:sz w:val="24"/>
          <w:szCs w:val="24"/>
        </w:rPr>
      </w:pPr>
      <w:r w:rsidRPr="005E0824">
        <w:rPr>
          <w:rFonts w:ascii="Times New Roman" w:eastAsia="Times New Roman" w:hAnsi="Times New Roman" w:cs="David" w:hint="cs"/>
          <w:sz w:val="24"/>
          <w:szCs w:val="24"/>
          <w:rtl/>
        </w:rPr>
        <w:t xml:space="preserve">ביהמ"ש יספק את המסמכים (הבקשות וההחלטות הרלבנטיות) לפי דרישה של ראש התביעה </w:t>
      </w:r>
      <w:proofErr w:type="spellStart"/>
      <w:r w:rsidRPr="005E0824">
        <w:rPr>
          <w:rFonts w:ascii="Times New Roman" w:eastAsia="Times New Roman" w:hAnsi="Times New Roman" w:cs="David" w:hint="cs"/>
          <w:sz w:val="24"/>
          <w:szCs w:val="24"/>
          <w:rtl/>
        </w:rPr>
        <w:t>מכח</w:t>
      </w:r>
      <w:proofErr w:type="spellEnd"/>
      <w:r w:rsidRPr="005E0824">
        <w:rPr>
          <w:rFonts w:ascii="Times New Roman" w:eastAsia="Times New Roman" w:hAnsi="Times New Roman" w:cs="David" w:hint="cs"/>
          <w:sz w:val="24"/>
          <w:szCs w:val="24"/>
          <w:rtl/>
        </w:rPr>
        <w:t xml:space="preserve"> ההסמכה המפורשת שנקבעה בדין.</w:t>
      </w:r>
      <w:bookmarkStart w:id="0" w:name="_GoBack"/>
      <w:bookmarkEnd w:id="0"/>
    </w:p>
    <w:sectPr w:rsidR="005E0824" w:rsidRPr="005E0824" w:rsidSect="0093042E">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824" w:rsidRDefault="005E0824" w:rsidP="005E0824">
      <w:pPr>
        <w:spacing w:after="0" w:line="240" w:lineRule="auto"/>
      </w:pPr>
      <w:r>
        <w:separator/>
      </w:r>
    </w:p>
  </w:endnote>
  <w:endnote w:type="continuationSeparator" w:id="0">
    <w:p w:rsidR="005E0824" w:rsidRDefault="005E0824" w:rsidP="005E0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FrutigerMaori-Bold">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824" w:rsidRDefault="005E0824" w:rsidP="005E0824">
      <w:pPr>
        <w:spacing w:after="0" w:line="240" w:lineRule="auto"/>
      </w:pPr>
      <w:r>
        <w:separator/>
      </w:r>
    </w:p>
  </w:footnote>
  <w:footnote w:type="continuationSeparator" w:id="0">
    <w:p w:rsidR="005E0824" w:rsidRDefault="005E0824" w:rsidP="005E0824">
      <w:pPr>
        <w:spacing w:after="0" w:line="240" w:lineRule="auto"/>
      </w:pPr>
      <w:r>
        <w:continuationSeparator/>
      </w:r>
    </w:p>
  </w:footnote>
  <w:footnote w:id="1">
    <w:p w:rsidR="005E0824" w:rsidRDefault="005E0824" w:rsidP="005E0824">
      <w:pPr>
        <w:pStyle w:val="a3"/>
      </w:pPr>
      <w:r>
        <w:rPr>
          <w:rStyle w:val="a5"/>
        </w:rPr>
        <w:footnoteRef/>
      </w:r>
      <w:r>
        <w:rPr>
          <w:rtl/>
        </w:rPr>
        <w:t xml:space="preserve"> </w:t>
      </w:r>
      <w:r>
        <w:t>Supreme Court Act 1981- section 42</w:t>
      </w:r>
    </w:p>
  </w:footnote>
  <w:footnote w:id="2">
    <w:p w:rsidR="005E0824" w:rsidRDefault="005E0824" w:rsidP="005E0824">
      <w:pPr>
        <w:pStyle w:val="a3"/>
        <w:rPr>
          <w:rFonts w:hint="cs"/>
          <w:rtl/>
        </w:rPr>
      </w:pPr>
      <w:r>
        <w:rPr>
          <w:rStyle w:val="a5"/>
        </w:rPr>
        <w:footnoteRef/>
      </w:r>
      <w:r>
        <w:rPr>
          <w:rtl/>
        </w:rPr>
        <w:t xml:space="preserve"> </w:t>
      </w:r>
      <w:r>
        <w:t>Federal Courts Act, 1985, section 40</w:t>
      </w:r>
    </w:p>
  </w:footnote>
  <w:footnote w:id="3">
    <w:p w:rsidR="005E0824" w:rsidRDefault="005E0824" w:rsidP="005E0824">
      <w:pPr>
        <w:pStyle w:val="a3"/>
      </w:pPr>
      <w:r>
        <w:rPr>
          <w:rStyle w:val="a5"/>
        </w:rPr>
        <w:footnoteRef/>
      </w:r>
      <w:r>
        <w:rPr>
          <w:rtl/>
        </w:rPr>
        <w:t xml:space="preserve"> </w:t>
      </w:r>
      <w:r>
        <w:t>The Judicature Act, 1908, section 88B</w:t>
      </w:r>
    </w:p>
  </w:footnote>
  <w:footnote w:id="4">
    <w:p w:rsidR="005E0824" w:rsidRDefault="005E0824" w:rsidP="005E0824">
      <w:pPr>
        <w:pStyle w:val="a3"/>
        <w:rPr>
          <w:rFonts w:hint="cs"/>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24"/>
    <w:rsid w:val="005E0824"/>
    <w:rsid w:val="0093042E"/>
    <w:rsid w:val="00DF78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824"/>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E0824"/>
    <w:rPr>
      <w:sz w:val="20"/>
      <w:szCs w:val="20"/>
    </w:rPr>
  </w:style>
  <w:style w:type="character" w:customStyle="1" w:styleId="a4">
    <w:name w:val="טקסט הערת שוליים תו"/>
    <w:basedOn w:val="a0"/>
    <w:link w:val="a3"/>
    <w:uiPriority w:val="99"/>
    <w:semiHidden/>
    <w:rsid w:val="005E0824"/>
    <w:rPr>
      <w:rFonts w:ascii="Calibri" w:eastAsia="Calibri" w:hAnsi="Calibri" w:cs="Arial"/>
      <w:sz w:val="20"/>
      <w:szCs w:val="20"/>
    </w:rPr>
  </w:style>
  <w:style w:type="character" w:styleId="a5">
    <w:name w:val="footnote reference"/>
    <w:uiPriority w:val="99"/>
    <w:semiHidden/>
    <w:rsid w:val="005E08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824"/>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E0824"/>
    <w:rPr>
      <w:sz w:val="20"/>
      <w:szCs w:val="20"/>
    </w:rPr>
  </w:style>
  <w:style w:type="character" w:customStyle="1" w:styleId="a4">
    <w:name w:val="טקסט הערת שוליים תו"/>
    <w:basedOn w:val="a0"/>
    <w:link w:val="a3"/>
    <w:uiPriority w:val="99"/>
    <w:semiHidden/>
    <w:rsid w:val="005E0824"/>
    <w:rPr>
      <w:rFonts w:ascii="Calibri" w:eastAsia="Calibri" w:hAnsi="Calibri" w:cs="Arial"/>
      <w:sz w:val="20"/>
      <w:szCs w:val="20"/>
    </w:rPr>
  </w:style>
  <w:style w:type="character" w:styleId="a5">
    <w:name w:val="footnote reference"/>
    <w:uiPriority w:val="99"/>
    <w:semiHidden/>
    <w:rsid w:val="005E08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596A3A89.dotm</Template>
  <TotalTime>17</TotalTime>
  <Pages>3</Pages>
  <Words>1086</Words>
  <Characters>5430</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Liron Banit Sasson</dc:creator>
  <cp:lastModifiedBy>Liron Banit Sasson</cp:lastModifiedBy>
  <cp:revision>1</cp:revision>
  <dcterms:created xsi:type="dcterms:W3CDTF">2018-08-08T11:03:00Z</dcterms:created>
  <dcterms:modified xsi:type="dcterms:W3CDTF">2018-08-08T11:21:00Z</dcterms:modified>
</cp:coreProperties>
</file>