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6A418" w14:textId="2C65D281" w:rsidR="00161572" w:rsidRPr="007245D7" w:rsidRDefault="00161572" w:rsidP="003D77B9">
      <w:pPr>
        <w:jc w:val="right"/>
        <w:textAlignment w:val="auto"/>
        <w:rPr>
          <w:rFonts w:ascii="David" w:hAnsi="David"/>
          <w:rtl/>
        </w:rPr>
      </w:pPr>
      <w:r w:rsidRPr="007245D7">
        <w:rPr>
          <w:rFonts w:ascii="David" w:hAnsi="David"/>
          <w:rtl/>
        </w:rPr>
        <w:t xml:space="preserve">ירושלים, </w:t>
      </w:r>
      <w:r w:rsidR="007245D7" w:rsidRPr="007245D7">
        <w:rPr>
          <w:rFonts w:ascii="David" w:hAnsi="David" w:hint="cs"/>
          <w:rtl/>
        </w:rPr>
        <w:t>כ"ו בא</w:t>
      </w:r>
      <w:r w:rsidR="009F7614">
        <w:rPr>
          <w:rFonts w:ascii="David" w:hAnsi="David" w:hint="cs"/>
          <w:rtl/>
        </w:rPr>
        <w:t>דר</w:t>
      </w:r>
      <w:r w:rsidRPr="007245D7">
        <w:rPr>
          <w:rFonts w:ascii="David" w:hAnsi="David"/>
          <w:rtl/>
        </w:rPr>
        <w:t xml:space="preserve"> תשפ"</w:t>
      </w:r>
      <w:r w:rsidR="009F7614">
        <w:rPr>
          <w:rFonts w:ascii="David" w:hAnsi="David" w:hint="cs"/>
          <w:rtl/>
        </w:rPr>
        <w:t>ה</w:t>
      </w:r>
    </w:p>
    <w:p w14:paraId="6492152B" w14:textId="1184705C" w:rsidR="00161572" w:rsidRPr="007245D7" w:rsidRDefault="009F7614" w:rsidP="007B7886">
      <w:pPr>
        <w:jc w:val="right"/>
        <w:textAlignment w:val="auto"/>
        <w:rPr>
          <w:rFonts w:ascii="David" w:hAnsi="David"/>
          <w:rtl/>
        </w:rPr>
      </w:pPr>
      <w:r>
        <w:rPr>
          <w:rFonts w:ascii="David" w:hAnsi="David" w:hint="cs"/>
          <w:rtl/>
        </w:rPr>
        <w:t>26 במרץ, 2025</w:t>
      </w:r>
    </w:p>
    <w:p w14:paraId="5342F467" w14:textId="63AE4BFB" w:rsidR="00161572" w:rsidRPr="007245D7" w:rsidRDefault="007245D7" w:rsidP="00161572">
      <w:pPr>
        <w:jc w:val="right"/>
        <w:textAlignment w:val="auto"/>
        <w:rPr>
          <w:rFonts w:ascii="David" w:hAnsi="David"/>
          <w:rtl/>
        </w:rPr>
      </w:pPr>
      <w:r w:rsidRPr="007245D7">
        <w:rPr>
          <w:rFonts w:ascii="David" w:hAnsi="David" w:hint="cs"/>
          <w:rtl/>
        </w:rPr>
        <w:t>תיק מס' 76/2024</w:t>
      </w:r>
    </w:p>
    <w:p w14:paraId="4AA6EED5" w14:textId="77777777" w:rsidR="00161572" w:rsidRPr="007245D7" w:rsidRDefault="00161572" w:rsidP="00161572">
      <w:pPr>
        <w:textAlignment w:val="auto"/>
        <w:rPr>
          <w:rFonts w:ascii="David" w:hAnsi="David"/>
          <w:rtl/>
        </w:rPr>
      </w:pPr>
    </w:p>
    <w:p w14:paraId="01252BF0" w14:textId="77777777" w:rsidR="00161572" w:rsidRPr="007245D7" w:rsidRDefault="00B4289C" w:rsidP="00161572">
      <w:pPr>
        <w:rPr>
          <w:rFonts w:ascii="David" w:hAnsi="David"/>
          <w:rtl/>
        </w:rPr>
      </w:pPr>
      <w:r w:rsidRPr="007245D7">
        <w:rPr>
          <w:rFonts w:ascii="David" w:hAnsi="David"/>
          <w:rtl/>
        </w:rPr>
        <w:tab/>
      </w:r>
    </w:p>
    <w:p w14:paraId="0A133F67" w14:textId="77777777" w:rsidR="00161572" w:rsidRPr="007245D7" w:rsidRDefault="00161572" w:rsidP="00161572">
      <w:pPr>
        <w:textAlignment w:val="auto"/>
        <w:rPr>
          <w:rFonts w:ascii="David" w:hAnsi="David"/>
          <w:rtl/>
        </w:rPr>
      </w:pPr>
      <w:r w:rsidRPr="007245D7">
        <w:rPr>
          <w:rFonts w:ascii="David" w:hAnsi="David"/>
          <w:rtl/>
        </w:rPr>
        <w:t>לכבוד</w:t>
      </w:r>
    </w:p>
    <w:p w14:paraId="1F740227" w14:textId="4290024A" w:rsidR="00161572" w:rsidRPr="007245D7" w:rsidRDefault="007245D7" w:rsidP="00161572">
      <w:pPr>
        <w:textAlignment w:val="auto"/>
        <w:rPr>
          <w:rFonts w:ascii="David" w:hAnsi="David"/>
          <w:rtl/>
        </w:rPr>
      </w:pPr>
      <w:r w:rsidRPr="007245D7">
        <w:rPr>
          <w:rFonts w:ascii="David" w:hAnsi="David" w:hint="cs"/>
          <w:rtl/>
        </w:rPr>
        <w:t>אלעד מן</w:t>
      </w:r>
    </w:p>
    <w:p w14:paraId="408345D5" w14:textId="77777777" w:rsidR="00B31A3C" w:rsidRPr="007245D7" w:rsidRDefault="00B31A3C" w:rsidP="00161572">
      <w:pPr>
        <w:textAlignment w:val="auto"/>
        <w:rPr>
          <w:rFonts w:ascii="David" w:hAnsi="David"/>
          <w:rtl/>
        </w:rPr>
      </w:pPr>
    </w:p>
    <w:p w14:paraId="071ACC4B" w14:textId="77777777" w:rsidR="00161572" w:rsidRPr="007245D7" w:rsidRDefault="00161572" w:rsidP="00161572">
      <w:pPr>
        <w:textAlignment w:val="auto"/>
        <w:rPr>
          <w:rFonts w:ascii="David" w:hAnsi="David"/>
          <w:rtl/>
        </w:rPr>
      </w:pPr>
      <w:r w:rsidRPr="007245D7">
        <w:rPr>
          <w:rFonts w:ascii="David" w:hAnsi="David"/>
          <w:rtl/>
        </w:rPr>
        <w:t>שלום רב,</w:t>
      </w:r>
    </w:p>
    <w:p w14:paraId="2A1C1531" w14:textId="77777777" w:rsidR="00161572" w:rsidRPr="007245D7" w:rsidRDefault="00161572" w:rsidP="00161572">
      <w:pPr>
        <w:textAlignment w:val="auto"/>
        <w:rPr>
          <w:rFonts w:ascii="David" w:hAnsi="David"/>
          <w:rtl/>
        </w:rPr>
      </w:pPr>
    </w:p>
    <w:p w14:paraId="1265B845" w14:textId="05847939" w:rsidR="00161572" w:rsidRDefault="00161572" w:rsidP="00161572">
      <w:pPr>
        <w:jc w:val="center"/>
        <w:textAlignment w:val="auto"/>
        <w:rPr>
          <w:rFonts w:ascii="David" w:hAnsi="David"/>
          <w:b/>
          <w:bCs/>
          <w:u w:val="single"/>
          <w:rtl/>
        </w:rPr>
      </w:pPr>
      <w:r w:rsidRPr="007245D7">
        <w:rPr>
          <w:rFonts w:ascii="David" w:hAnsi="David"/>
          <w:b/>
          <w:bCs/>
          <w:u w:val="single"/>
          <w:rtl/>
        </w:rPr>
        <w:t xml:space="preserve">הנדון: </w:t>
      </w:r>
      <w:r w:rsidR="007245D7" w:rsidRPr="007245D7">
        <w:rPr>
          <w:rFonts w:ascii="David" w:hAnsi="David"/>
          <w:b/>
          <w:bCs/>
          <w:u w:val="single"/>
          <w:rtl/>
        </w:rPr>
        <w:t>ישראל מלאכי - יומן, ניגוד עניינים, תחומי אחריות וסיכומי פגישות</w:t>
      </w:r>
    </w:p>
    <w:p w14:paraId="635ADCC5" w14:textId="77777777" w:rsidR="00DC1C78" w:rsidRDefault="00DC1C78" w:rsidP="00DC1C78">
      <w:pPr>
        <w:rPr>
          <w:rtl/>
        </w:rPr>
      </w:pPr>
    </w:p>
    <w:p w14:paraId="7084055B" w14:textId="77777777" w:rsidR="009F7614" w:rsidRPr="009F7614" w:rsidRDefault="00DC1C78" w:rsidP="009F7614">
      <w:pPr>
        <w:jc w:val="both"/>
      </w:pPr>
      <w:r>
        <w:rPr>
          <w:rtl/>
        </w:rPr>
        <w:tab/>
      </w:r>
    </w:p>
    <w:p w14:paraId="13CE594A" w14:textId="77777777" w:rsidR="009F7614" w:rsidRPr="009F7614" w:rsidRDefault="009F7614" w:rsidP="009F7614">
      <w:pPr>
        <w:jc w:val="both"/>
        <w:rPr>
          <w:rtl/>
        </w:rPr>
      </w:pPr>
      <w:r w:rsidRPr="009F7614">
        <w:rPr>
          <w:rtl/>
        </w:rPr>
        <w:t>להשלמת המענה לבקשה מיום 21 באוגוסט 2024 (להלן - הבקשה), מצורף הסדר ניגוד העניינים של המשנה למנכ"ל משרד האוצר והשאלון שמולא אגב עריכתו.</w:t>
      </w:r>
    </w:p>
    <w:p w14:paraId="6E442EA4" w14:textId="77777777" w:rsidR="009F7614" w:rsidRPr="009F7614" w:rsidRDefault="009F7614" w:rsidP="009F7614">
      <w:pPr>
        <w:jc w:val="both"/>
        <w:rPr>
          <w:rtl/>
        </w:rPr>
      </w:pPr>
    </w:p>
    <w:p w14:paraId="48BE43B6" w14:textId="77777777" w:rsidR="009F7614" w:rsidRPr="009F7614" w:rsidRDefault="009F7614" w:rsidP="009F7614">
      <w:pPr>
        <w:jc w:val="both"/>
        <w:rPr>
          <w:rtl/>
        </w:rPr>
      </w:pPr>
      <w:r w:rsidRPr="009F7614">
        <w:rPr>
          <w:rtl/>
        </w:rPr>
        <w:t>אשר לסמכויות המשנה למנכ"ל, בסעיף 3 להחלטת הממשלה מס' 3075 מיום 15 באוקטובר 2017 (להלן – החלטה 3075) בעניין שיפור הליכי האיוש של משרות בכירות בשירות המדינה ותיקון החלטת ממשלה, שעוגן בהוראת סעיף 02.641 לתקנון שירות המדינה, נקבע כי בכל אחד ממשרדי הממשלה שבהם מעל 150 עובדים, תתאפשר משרה אחת של משנה למנכ"ל, אשר תהיה חלק מלשכת המנכ"ל.</w:t>
      </w:r>
    </w:p>
    <w:p w14:paraId="463879F4" w14:textId="77777777" w:rsidR="009F7614" w:rsidRPr="009F7614" w:rsidRDefault="009F7614" w:rsidP="009F7614">
      <w:pPr>
        <w:jc w:val="both"/>
        <w:rPr>
          <w:rtl/>
        </w:rPr>
      </w:pPr>
    </w:p>
    <w:p w14:paraId="7FAB6180" w14:textId="77777777" w:rsidR="009F7614" w:rsidRPr="009F7614" w:rsidRDefault="009F7614" w:rsidP="009F7614">
      <w:pPr>
        <w:jc w:val="both"/>
        <w:rPr>
          <w:rtl/>
        </w:rPr>
      </w:pPr>
      <w:r w:rsidRPr="009F7614">
        <w:rPr>
          <w:rtl/>
        </w:rPr>
        <w:t xml:space="preserve">עוד נקבע בהחלטה האמורה כי המינוי ייעשה על ידי מנכ"ל המשרד בהליך פטור ממכרז בהתאם לסעיף 21 לחוק שירות המדינה (מינויים), התשי"ט-1959, וזאת בהתאם לתיאור התפקיד ולתנאי הסף שנקבעו על ידי נציב שירות המדינה ואשר עוגנו בנספח להחלטה. עוד נקבע שהמינוי טעון אישור של ועדת המינויים וכי סיום העסקת המשנה למנכ"ל המשרד יהיה על פי שיקול דעתו של מנכ"ל המשרד. </w:t>
      </w:r>
    </w:p>
    <w:p w14:paraId="6CC85FDC" w14:textId="77777777" w:rsidR="009F7614" w:rsidRPr="009F7614" w:rsidRDefault="009F7614" w:rsidP="009F7614">
      <w:pPr>
        <w:jc w:val="both"/>
        <w:rPr>
          <w:rtl/>
        </w:rPr>
      </w:pPr>
    </w:p>
    <w:p w14:paraId="5E127E92" w14:textId="77777777" w:rsidR="009F7614" w:rsidRPr="009F7614" w:rsidRDefault="009F7614" w:rsidP="009F7614">
      <w:pPr>
        <w:jc w:val="both"/>
        <w:rPr>
          <w:rtl/>
        </w:rPr>
      </w:pPr>
      <w:r w:rsidRPr="009F7614">
        <w:rPr>
          <w:rtl/>
        </w:rPr>
        <w:t>סעיף 3(ד) להחלטה 3075 קובע כי המשנה למנכ"ל המשרד יהיה כפוף למנכ"ל שיקבע את תחומי סמכותו וכי מנכ"ל המשרד יהיה רשאי להפקיד את המשנה על תיאום בין גופי המשרד השונים והיחידות המקצועיות בתחומי משימותיו, על הובלה ועל קידום פרויקטים שונים בהתאם להנחיות המנכ"ל ועל ניהול מעקב אחר יישום מדיניות המשרד בתחומים שעליהם הופקד. בתחומים אלה ובמשימות אשר יוטלו עליו יהיה המשנה למנכ"ל המשרד רשאי לתת הנחיות והוראות לדרג המקצועי במשרד.</w:t>
      </w:r>
    </w:p>
    <w:p w14:paraId="068E866D" w14:textId="77777777" w:rsidR="009F7614" w:rsidRPr="009F7614" w:rsidRDefault="009F7614" w:rsidP="009F7614">
      <w:pPr>
        <w:jc w:val="both"/>
        <w:rPr>
          <w:rtl/>
        </w:rPr>
      </w:pPr>
    </w:p>
    <w:p w14:paraId="24C7BFD8" w14:textId="77777777" w:rsidR="009F7614" w:rsidRPr="009F7614" w:rsidRDefault="009F7614" w:rsidP="009F7614">
      <w:pPr>
        <w:jc w:val="both"/>
        <w:rPr>
          <w:rtl/>
        </w:rPr>
      </w:pPr>
      <w:r w:rsidRPr="009F7614">
        <w:rPr>
          <w:rtl/>
        </w:rPr>
        <w:t>כפי שנמסר מלשכת המשנה למנכ"ל משרד האוצר, תפקידיו הם כדלהלן:</w:t>
      </w:r>
    </w:p>
    <w:p w14:paraId="1E177672" w14:textId="77777777" w:rsidR="009F7614" w:rsidRPr="009F7614" w:rsidRDefault="009F7614" w:rsidP="009F7614">
      <w:pPr>
        <w:jc w:val="both"/>
        <w:rPr>
          <w:rtl/>
        </w:rPr>
      </w:pPr>
    </w:p>
    <w:p w14:paraId="0527B701" w14:textId="77777777" w:rsidR="009F7614" w:rsidRPr="009F7614" w:rsidRDefault="009F7614" w:rsidP="009F7614">
      <w:pPr>
        <w:jc w:val="both"/>
        <w:rPr>
          <w:rtl/>
        </w:rPr>
      </w:pPr>
      <w:r w:rsidRPr="009F7614">
        <w:rPr>
          <w:rtl/>
        </w:rPr>
        <w:t>1.</w:t>
      </w:r>
      <w:r w:rsidRPr="009F7614">
        <w:rPr>
          <w:rtl/>
        </w:rPr>
        <w:tab/>
        <w:t>תיאום, הובלה וקידום נושאים שונים, בין שהאר:</w:t>
      </w:r>
    </w:p>
    <w:p w14:paraId="5FA44EB1" w14:textId="77777777" w:rsidR="009F7614" w:rsidRPr="009F7614" w:rsidRDefault="009F7614" w:rsidP="009F7614">
      <w:pPr>
        <w:jc w:val="both"/>
        <w:rPr>
          <w:rtl/>
        </w:rPr>
      </w:pPr>
      <w:r w:rsidRPr="009F7614">
        <w:rPr>
          <w:rtl/>
        </w:rPr>
        <w:lastRenderedPageBreak/>
        <w:t>א.</w:t>
      </w:r>
      <w:r w:rsidRPr="009F7614">
        <w:rPr>
          <w:rtl/>
        </w:rPr>
        <w:tab/>
        <w:t>מוניציפלי ורשויות מקומיות</w:t>
      </w:r>
    </w:p>
    <w:p w14:paraId="3D6BD862" w14:textId="77777777" w:rsidR="009F7614" w:rsidRPr="009F7614" w:rsidRDefault="009F7614" w:rsidP="009F7614">
      <w:pPr>
        <w:jc w:val="both"/>
        <w:rPr>
          <w:rtl/>
        </w:rPr>
      </w:pPr>
      <w:r w:rsidRPr="009F7614">
        <w:rPr>
          <w:rtl/>
        </w:rPr>
        <w:t>ב.</w:t>
      </w:r>
      <w:r w:rsidRPr="009F7614">
        <w:rPr>
          <w:rtl/>
        </w:rPr>
        <w:tab/>
        <w:t>מנהלת תקומה</w:t>
      </w:r>
    </w:p>
    <w:p w14:paraId="6D58F9A5" w14:textId="77777777" w:rsidR="009F7614" w:rsidRPr="009F7614" w:rsidRDefault="009F7614" w:rsidP="009F7614">
      <w:pPr>
        <w:jc w:val="both"/>
        <w:rPr>
          <w:rtl/>
        </w:rPr>
      </w:pPr>
      <w:r w:rsidRPr="009F7614">
        <w:rPr>
          <w:rtl/>
        </w:rPr>
        <w:t>ג.</w:t>
      </w:r>
      <w:r w:rsidRPr="009F7614">
        <w:rPr>
          <w:rtl/>
        </w:rPr>
        <w:tab/>
        <w:t>מנהלת תנופה לצפון</w:t>
      </w:r>
    </w:p>
    <w:p w14:paraId="096E2B2D" w14:textId="77777777" w:rsidR="009F7614" w:rsidRPr="009F7614" w:rsidRDefault="009F7614" w:rsidP="009F7614">
      <w:pPr>
        <w:jc w:val="both"/>
        <w:rPr>
          <w:rtl/>
        </w:rPr>
      </w:pPr>
      <w:r w:rsidRPr="009F7614">
        <w:rPr>
          <w:rtl/>
        </w:rPr>
        <w:t>ד.</w:t>
      </w:r>
      <w:r w:rsidRPr="009F7614">
        <w:rPr>
          <w:rtl/>
        </w:rPr>
        <w:tab/>
        <w:t>חינוך</w:t>
      </w:r>
    </w:p>
    <w:p w14:paraId="627B171E" w14:textId="77777777" w:rsidR="009F7614" w:rsidRPr="009F7614" w:rsidRDefault="009F7614" w:rsidP="009F7614">
      <w:pPr>
        <w:jc w:val="both"/>
        <w:rPr>
          <w:rtl/>
        </w:rPr>
      </w:pPr>
      <w:r w:rsidRPr="009F7614">
        <w:rPr>
          <w:rtl/>
        </w:rPr>
        <w:t>ה.</w:t>
      </w:r>
      <w:r w:rsidRPr="009F7614">
        <w:rPr>
          <w:rtl/>
        </w:rPr>
        <w:tab/>
        <w:t>החלטות ממשלה שונות.</w:t>
      </w:r>
    </w:p>
    <w:p w14:paraId="2732B576" w14:textId="77777777" w:rsidR="009F7614" w:rsidRPr="009F7614" w:rsidRDefault="009F7614" w:rsidP="009F7614">
      <w:pPr>
        <w:jc w:val="both"/>
        <w:rPr>
          <w:rtl/>
        </w:rPr>
      </w:pPr>
      <w:r w:rsidRPr="009F7614">
        <w:rPr>
          <w:rtl/>
        </w:rPr>
        <w:t>2.</w:t>
      </w:r>
      <w:r w:rsidRPr="009F7614">
        <w:rPr>
          <w:rtl/>
        </w:rPr>
        <w:tab/>
        <w:t>תקציבים קואליציוניים</w:t>
      </w:r>
    </w:p>
    <w:p w14:paraId="5F68485B" w14:textId="77777777" w:rsidR="009F7614" w:rsidRPr="009F7614" w:rsidRDefault="009F7614" w:rsidP="009F7614">
      <w:pPr>
        <w:jc w:val="both"/>
        <w:rPr>
          <w:rtl/>
        </w:rPr>
      </w:pPr>
      <w:r w:rsidRPr="009F7614">
        <w:rPr>
          <w:rtl/>
        </w:rPr>
        <w:t>3.</w:t>
      </w:r>
      <w:r w:rsidRPr="009F7614">
        <w:rPr>
          <w:rtl/>
        </w:rPr>
        <w:tab/>
        <w:t xml:space="preserve">ניהול מעקב אחר יישום מדיניות המשרד בעניין הכנת התקציב וביצועו </w:t>
      </w:r>
    </w:p>
    <w:p w14:paraId="3EACB8C1" w14:textId="77777777" w:rsidR="009F7614" w:rsidRPr="009F7614" w:rsidRDefault="009F7614" w:rsidP="009F7614">
      <w:pPr>
        <w:jc w:val="both"/>
        <w:rPr>
          <w:rtl/>
        </w:rPr>
      </w:pPr>
      <w:r w:rsidRPr="009F7614">
        <w:rPr>
          <w:rtl/>
        </w:rPr>
        <w:t>4.</w:t>
      </w:r>
      <w:r w:rsidRPr="009F7614">
        <w:rPr>
          <w:rtl/>
        </w:rPr>
        <w:tab/>
        <w:t>ניהול מעקב אחר יישום מדיניות המשרד בעניין עדכוני תקציב</w:t>
      </w:r>
    </w:p>
    <w:p w14:paraId="03389AF6" w14:textId="77777777" w:rsidR="009F7614" w:rsidRPr="009F7614" w:rsidRDefault="009F7614" w:rsidP="009F7614">
      <w:pPr>
        <w:jc w:val="both"/>
        <w:rPr>
          <w:rtl/>
        </w:rPr>
      </w:pPr>
      <w:r w:rsidRPr="009F7614">
        <w:rPr>
          <w:rtl/>
        </w:rPr>
        <w:t>5.</w:t>
      </w:r>
      <w:r w:rsidRPr="009F7614">
        <w:rPr>
          <w:rtl/>
        </w:rPr>
        <w:tab/>
        <w:t>ניהול מעקב אחר יישום מדיניות המשרד בעניין מעקב ביצוע התקציב</w:t>
      </w:r>
    </w:p>
    <w:p w14:paraId="2D9D707D" w14:textId="77777777" w:rsidR="009F7614" w:rsidRPr="009F7614" w:rsidRDefault="009F7614" w:rsidP="009F7614">
      <w:pPr>
        <w:jc w:val="both"/>
        <w:rPr>
          <w:rtl/>
        </w:rPr>
      </w:pPr>
      <w:r w:rsidRPr="009F7614">
        <w:rPr>
          <w:rtl/>
        </w:rPr>
        <w:t>6.</w:t>
      </w:r>
      <w:r w:rsidRPr="009F7614">
        <w:rPr>
          <w:rtl/>
        </w:rPr>
        <w:tab/>
        <w:t>משימות נוספות שהמנכ"ל / שר מטילים עפ"י צורך.</w:t>
      </w:r>
    </w:p>
    <w:p w14:paraId="0BF129D5" w14:textId="77777777" w:rsidR="009F7614" w:rsidRPr="009F7614" w:rsidRDefault="009F7614" w:rsidP="009F7614">
      <w:pPr>
        <w:jc w:val="both"/>
        <w:rPr>
          <w:rtl/>
        </w:rPr>
      </w:pPr>
    </w:p>
    <w:p w14:paraId="3DDE8042" w14:textId="23F7D6FE" w:rsidR="009F7614" w:rsidRPr="009F7614" w:rsidRDefault="009F7614" w:rsidP="009F7614">
      <w:pPr>
        <w:jc w:val="both"/>
        <w:rPr>
          <w:rtl/>
        </w:rPr>
      </w:pPr>
      <w:r w:rsidRPr="009F7614">
        <w:rPr>
          <w:rtl/>
        </w:rPr>
        <w:t>אשר לחלק המתייחס לפירוט סיכומי הפגישה או שיחה שבהן השתתף המשנה למנכ"ל, בשל אופייה הכללי של הבקשה, וכוח האדם המועט העומד לרשות המשנה למנכ"ל, היא נדחית בהתאם לסעיף 8(1) לחוק חופש המידע, התשנ"ח-1998.</w:t>
      </w:r>
    </w:p>
    <w:p w14:paraId="02F8316F" w14:textId="1BEB4071" w:rsidR="00DC1C78" w:rsidRDefault="00DC1C78" w:rsidP="009F7614">
      <w:pPr>
        <w:jc w:val="both"/>
        <w:rPr>
          <w:rtl/>
        </w:rPr>
      </w:pPr>
    </w:p>
    <w:p w14:paraId="068D20B5" w14:textId="77777777" w:rsidR="00DC1C78" w:rsidRPr="00161572" w:rsidRDefault="00DC1C78" w:rsidP="009F7614">
      <w:pPr>
        <w:jc w:val="both"/>
        <w:textAlignment w:val="auto"/>
        <w:rPr>
          <w:rFonts w:ascii="David" w:hAnsi="David"/>
          <w:b/>
          <w:bCs/>
          <w:u w:val="single"/>
          <w:rtl/>
        </w:rPr>
      </w:pPr>
    </w:p>
    <w:p w14:paraId="6F2C67C4" w14:textId="77777777" w:rsidR="00B4289C" w:rsidRPr="00E604DF" w:rsidRDefault="00B4289C">
      <w:pPr>
        <w:rPr>
          <w:rFonts w:ascii="David" w:hAnsi="David"/>
          <w:rtl/>
        </w:rPr>
      </w:pPr>
    </w:p>
    <w:p w14:paraId="1595BAE4" w14:textId="77777777" w:rsidR="00911256" w:rsidRPr="00E604DF" w:rsidRDefault="00911256">
      <w:pPr>
        <w:rPr>
          <w:rFonts w:ascii="David" w:hAnsi="David"/>
          <w:rtl/>
        </w:rPr>
      </w:pPr>
    </w:p>
    <w:p w14:paraId="2C2F685D" w14:textId="77777777" w:rsidR="000E2B5D" w:rsidRPr="00E604DF" w:rsidRDefault="000E2B5D">
      <w:pPr>
        <w:rPr>
          <w:rFonts w:ascii="David" w:hAnsi="David"/>
          <w:rtl/>
        </w:rPr>
      </w:pPr>
    </w:p>
    <w:p w14:paraId="31C37FB8" w14:textId="77777777" w:rsidR="000E2B5D" w:rsidRPr="00E604DF" w:rsidRDefault="000E2B5D">
      <w:pPr>
        <w:rPr>
          <w:rFonts w:ascii="David" w:hAnsi="David"/>
          <w:rtl/>
        </w:rPr>
      </w:pPr>
    </w:p>
    <w:p w14:paraId="340777B5" w14:textId="77777777" w:rsidR="00B4289C" w:rsidRPr="00E604DF" w:rsidRDefault="00B4289C">
      <w:pPr>
        <w:rPr>
          <w:rFonts w:ascii="David" w:hAnsi="David"/>
          <w:rtl/>
        </w:rPr>
      </w:pPr>
    </w:p>
    <w:p w14:paraId="1D8827A2" w14:textId="77777777" w:rsidR="00B4289C" w:rsidRPr="00E604DF" w:rsidRDefault="00B4289C">
      <w:pPr>
        <w:rPr>
          <w:rFonts w:ascii="David" w:hAnsi="David"/>
          <w:rtl/>
        </w:rPr>
      </w:pPr>
    </w:p>
    <w:p w14:paraId="0B653344" w14:textId="77777777" w:rsidR="00B4289C" w:rsidRPr="00E604DF" w:rsidRDefault="00B4289C" w:rsidP="00F02E85">
      <w:pPr>
        <w:ind w:left="5022"/>
        <w:jc w:val="center"/>
        <w:rPr>
          <w:rFonts w:ascii="David" w:hAnsi="David"/>
          <w:rtl/>
        </w:rPr>
      </w:pPr>
      <w:r w:rsidRPr="00E604DF">
        <w:rPr>
          <w:rFonts w:ascii="David" w:hAnsi="David"/>
          <w:rtl/>
        </w:rPr>
        <w:t>בכבוד רב ,</w:t>
      </w:r>
    </w:p>
    <w:p w14:paraId="446C8122" w14:textId="77777777" w:rsidR="00B4289C" w:rsidRPr="00E604DF" w:rsidRDefault="00D57FA2" w:rsidP="00F02E85">
      <w:pPr>
        <w:ind w:left="5022"/>
        <w:jc w:val="center"/>
        <w:rPr>
          <w:rFonts w:ascii="David" w:hAnsi="David"/>
          <w:rtl/>
        </w:rPr>
      </w:pPr>
      <w:r w:rsidRPr="00E604DF">
        <w:rPr>
          <w:rFonts w:ascii="David" w:hAnsi="David"/>
          <w:noProof/>
          <w:lang w:eastAsia="en-US"/>
        </w:rPr>
        <w:drawing>
          <wp:inline distT="0" distB="0" distL="0" distR="0" wp14:anchorId="2724CD12" wp14:editId="49DBF485">
            <wp:extent cx="1200150" cy="447675"/>
            <wp:effectExtent l="0" t="0" r="0" b="0"/>
            <wp:docPr id="1" name="Picture 1" descr="Mnyuv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yuv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447675"/>
                    </a:xfrm>
                    <a:prstGeom prst="rect">
                      <a:avLst/>
                    </a:prstGeom>
                    <a:noFill/>
                    <a:ln>
                      <a:noFill/>
                    </a:ln>
                  </pic:spPr>
                </pic:pic>
              </a:graphicData>
            </a:graphic>
          </wp:inline>
        </w:drawing>
      </w:r>
    </w:p>
    <w:p w14:paraId="11A2CF7E" w14:textId="77777777" w:rsidR="00F02E85" w:rsidRPr="00E604DF" w:rsidRDefault="00F02E85" w:rsidP="00F02E85">
      <w:pPr>
        <w:ind w:left="5022"/>
        <w:jc w:val="center"/>
        <w:rPr>
          <w:rFonts w:ascii="David" w:hAnsi="David"/>
          <w:rtl/>
        </w:rPr>
      </w:pPr>
      <w:r w:rsidRPr="00E604DF">
        <w:rPr>
          <w:rFonts w:ascii="David" w:hAnsi="David"/>
          <w:rtl/>
        </w:rPr>
        <w:t>אנט קליימן</w:t>
      </w:r>
    </w:p>
    <w:p w14:paraId="2DFEDBF5" w14:textId="77777777" w:rsidR="00B4289C" w:rsidRPr="00E604DF" w:rsidRDefault="00B4289C" w:rsidP="00F02E85">
      <w:pPr>
        <w:ind w:left="5022"/>
        <w:jc w:val="center"/>
        <w:rPr>
          <w:rFonts w:ascii="David" w:hAnsi="David"/>
          <w:rtl/>
        </w:rPr>
      </w:pPr>
      <w:r w:rsidRPr="00E604DF">
        <w:rPr>
          <w:rFonts w:ascii="David" w:hAnsi="David"/>
          <w:rtl/>
        </w:rPr>
        <w:t>ממונה על פניות הציבור וחוק חופש המידע</w:t>
      </w:r>
    </w:p>
    <w:p w14:paraId="25490EE9" w14:textId="77777777" w:rsidR="00B4289C" w:rsidRDefault="00B4289C">
      <w:pPr>
        <w:rPr>
          <w:rtl/>
        </w:rPr>
      </w:pPr>
    </w:p>
    <w:p w14:paraId="7ECDD05D" w14:textId="77777777" w:rsidR="000503E2" w:rsidRDefault="000503E2">
      <w:pPr>
        <w:rPr>
          <w:rtl/>
        </w:rPr>
      </w:pPr>
    </w:p>
    <w:p w14:paraId="38BF8A2E" w14:textId="77777777" w:rsidR="00B4289C" w:rsidRDefault="00B4289C"/>
    <w:sectPr w:rsidR="00B4289C">
      <w:headerReference w:type="default" r:id="rId7"/>
      <w:footerReference w:type="default" r:id="rId8"/>
      <w:endnotePr>
        <w:numFmt w:val="lowerLetter"/>
      </w:endnotePr>
      <w:pgSz w:w="11906" w:h="16838"/>
      <w:pgMar w:top="567" w:right="1700" w:bottom="1440" w:left="1134"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8F71" w14:textId="77777777" w:rsidR="00333AD7" w:rsidRDefault="00333AD7">
      <w:pPr>
        <w:spacing w:line="240" w:lineRule="auto"/>
      </w:pPr>
      <w:r>
        <w:separator/>
      </w:r>
    </w:p>
  </w:endnote>
  <w:endnote w:type="continuationSeparator" w:id="0">
    <w:p w14:paraId="681314E2" w14:textId="77777777" w:rsidR="00333AD7" w:rsidRDefault="00333A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8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B227" w14:textId="77777777" w:rsidR="003D55DA" w:rsidRPr="003D55DA" w:rsidRDefault="003D55DA" w:rsidP="003D55DA">
    <w:pPr>
      <w:pStyle w:val="a4"/>
      <w:jc w:val="center"/>
      <w:rPr>
        <w:b/>
        <w:bCs/>
        <w:szCs w:val="22"/>
      </w:rPr>
    </w:pPr>
    <w:r w:rsidRPr="003D55DA">
      <w:rPr>
        <w:rFonts w:hint="cs"/>
        <w:b/>
        <w:bCs/>
        <w:szCs w:val="22"/>
        <w:rtl/>
      </w:rPr>
      <w:t>_________________________________________________________________________</w:t>
    </w:r>
  </w:p>
  <w:p w14:paraId="648B667F" w14:textId="77777777" w:rsidR="003D55DA" w:rsidRPr="003D55DA" w:rsidRDefault="003D55DA" w:rsidP="000503E2">
    <w:pPr>
      <w:pStyle w:val="a4"/>
      <w:jc w:val="center"/>
      <w:rPr>
        <w:b/>
        <w:bCs/>
        <w:szCs w:val="22"/>
      </w:rPr>
    </w:pPr>
    <w:r w:rsidRPr="003D55DA">
      <w:rPr>
        <w:rFonts w:hint="cs"/>
        <w:b/>
        <w:bCs/>
        <w:szCs w:val="22"/>
        <w:rtl/>
      </w:rPr>
      <w:t>רח'  קפלן  1,        ירושלים  91036        ת.ד.  3100        טל'  02-5317155/215        פקס.  02-</w:t>
    </w:r>
    <w:r w:rsidR="000503E2">
      <w:rPr>
        <w:rFonts w:hint="cs"/>
        <w:b/>
        <w:bCs/>
        <w:szCs w:val="22"/>
        <w:rtl/>
      </w:rPr>
      <w:t>5695347</w:t>
    </w:r>
  </w:p>
  <w:p w14:paraId="52E7F84B" w14:textId="77777777" w:rsidR="00B4289C" w:rsidRPr="003D55DA" w:rsidRDefault="00B4289C" w:rsidP="003D55DA">
    <w:pPr>
      <w:pStyle w:val="a4"/>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92276" w14:textId="77777777" w:rsidR="00333AD7" w:rsidRDefault="00333AD7">
      <w:pPr>
        <w:spacing w:line="240" w:lineRule="auto"/>
      </w:pPr>
      <w:r>
        <w:separator/>
      </w:r>
    </w:p>
  </w:footnote>
  <w:footnote w:type="continuationSeparator" w:id="0">
    <w:p w14:paraId="5801B554" w14:textId="77777777" w:rsidR="00333AD7" w:rsidRDefault="00333A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AD613" w14:textId="77777777" w:rsidR="00B4289C" w:rsidRDefault="00B4289C">
    <w:pPr>
      <w:pStyle w:val="a3"/>
      <w:jc w:val="center"/>
      <w:rPr>
        <w:b/>
        <w:bCs/>
        <w:szCs w:val="28"/>
        <w:rtl/>
      </w:rPr>
    </w:pPr>
    <w:r>
      <w:rPr>
        <w:b/>
        <w:bCs/>
        <w:szCs w:val="28"/>
        <w:rtl/>
      </w:rPr>
      <w:t>מדינת ישראל</w:t>
    </w:r>
  </w:p>
  <w:p w14:paraId="1573583E" w14:textId="77777777" w:rsidR="00B4289C" w:rsidRDefault="00B4289C">
    <w:pPr>
      <w:pStyle w:val="a3"/>
      <w:jc w:val="center"/>
      <w:rPr>
        <w:b/>
        <w:bCs/>
        <w:szCs w:val="28"/>
        <w:rtl/>
      </w:rPr>
    </w:pPr>
    <w:r>
      <w:rPr>
        <w:b/>
        <w:bCs/>
        <w:rtl/>
      </w:rPr>
      <w:t>משרד האוצר</w:t>
    </w:r>
  </w:p>
  <w:p w14:paraId="050D04FD" w14:textId="77777777" w:rsidR="00B4289C" w:rsidRDefault="00B4289C">
    <w:pPr>
      <w:pStyle w:val="a3"/>
      <w:jc w:val="center"/>
      <w:rPr>
        <w:rtl/>
      </w:rPr>
    </w:pPr>
    <w:r>
      <w:rPr>
        <w:b/>
        <w:bCs/>
        <w:rtl/>
      </w:rPr>
      <w:t>היחידה לפניות הציבור וחוק חופש המידע</w:t>
    </w:r>
  </w:p>
  <w:p w14:paraId="5F8515CE" w14:textId="77777777" w:rsidR="00B4289C" w:rsidRDefault="00B4289C">
    <w:pPr>
      <w:pStyle w:val="a3"/>
      <w:jc w:val="center"/>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324"/>
    <w:rsid w:val="000166A6"/>
    <w:rsid w:val="00023DFA"/>
    <w:rsid w:val="0002532D"/>
    <w:rsid w:val="00027271"/>
    <w:rsid w:val="00031484"/>
    <w:rsid w:val="00045E22"/>
    <w:rsid w:val="000503E2"/>
    <w:rsid w:val="000B45B2"/>
    <w:rsid w:val="000C3960"/>
    <w:rsid w:val="000E2B5D"/>
    <w:rsid w:val="00113F15"/>
    <w:rsid w:val="00115C2F"/>
    <w:rsid w:val="00127F2E"/>
    <w:rsid w:val="00135D73"/>
    <w:rsid w:val="00155053"/>
    <w:rsid w:val="00161572"/>
    <w:rsid w:val="00190F2B"/>
    <w:rsid w:val="001C6E3D"/>
    <w:rsid w:val="001F569C"/>
    <w:rsid w:val="001F71DD"/>
    <w:rsid w:val="002000B0"/>
    <w:rsid w:val="002072B4"/>
    <w:rsid w:val="00213A11"/>
    <w:rsid w:val="00223C8F"/>
    <w:rsid w:val="00235C8C"/>
    <w:rsid w:val="00261155"/>
    <w:rsid w:val="002757FD"/>
    <w:rsid w:val="002B1BE1"/>
    <w:rsid w:val="002B3BF5"/>
    <w:rsid w:val="002B5000"/>
    <w:rsid w:val="002C20B3"/>
    <w:rsid w:val="002E6886"/>
    <w:rsid w:val="003045EB"/>
    <w:rsid w:val="00322324"/>
    <w:rsid w:val="00333AD7"/>
    <w:rsid w:val="003872C4"/>
    <w:rsid w:val="003B54CE"/>
    <w:rsid w:val="003C6218"/>
    <w:rsid w:val="003D3610"/>
    <w:rsid w:val="003D55DA"/>
    <w:rsid w:val="003D77B9"/>
    <w:rsid w:val="003E24F1"/>
    <w:rsid w:val="003E3BEF"/>
    <w:rsid w:val="003F521C"/>
    <w:rsid w:val="004242ED"/>
    <w:rsid w:val="00434E25"/>
    <w:rsid w:val="004621D6"/>
    <w:rsid w:val="004662A5"/>
    <w:rsid w:val="0047140E"/>
    <w:rsid w:val="00472897"/>
    <w:rsid w:val="004972A2"/>
    <w:rsid w:val="004A739C"/>
    <w:rsid w:val="004C789E"/>
    <w:rsid w:val="00500130"/>
    <w:rsid w:val="005506F4"/>
    <w:rsid w:val="00552308"/>
    <w:rsid w:val="005A3997"/>
    <w:rsid w:val="005B5AE2"/>
    <w:rsid w:val="005B638B"/>
    <w:rsid w:val="005D65D3"/>
    <w:rsid w:val="005E0B29"/>
    <w:rsid w:val="005F4B86"/>
    <w:rsid w:val="0060196D"/>
    <w:rsid w:val="00615386"/>
    <w:rsid w:val="0062716F"/>
    <w:rsid w:val="006350E1"/>
    <w:rsid w:val="00656CB2"/>
    <w:rsid w:val="00666358"/>
    <w:rsid w:val="006A4426"/>
    <w:rsid w:val="006B5ED3"/>
    <w:rsid w:val="006B6072"/>
    <w:rsid w:val="006C51E7"/>
    <w:rsid w:val="006D5773"/>
    <w:rsid w:val="006E13A5"/>
    <w:rsid w:val="006F143B"/>
    <w:rsid w:val="006F179D"/>
    <w:rsid w:val="006F7220"/>
    <w:rsid w:val="00714DEE"/>
    <w:rsid w:val="007245D7"/>
    <w:rsid w:val="007418EB"/>
    <w:rsid w:val="007605D5"/>
    <w:rsid w:val="0076454A"/>
    <w:rsid w:val="0077195E"/>
    <w:rsid w:val="007970DF"/>
    <w:rsid w:val="007B7886"/>
    <w:rsid w:val="007C1B0E"/>
    <w:rsid w:val="0080089B"/>
    <w:rsid w:val="00802AEC"/>
    <w:rsid w:val="00885C56"/>
    <w:rsid w:val="00885FA5"/>
    <w:rsid w:val="008B6A50"/>
    <w:rsid w:val="009014C6"/>
    <w:rsid w:val="009066C0"/>
    <w:rsid w:val="00911256"/>
    <w:rsid w:val="009402B3"/>
    <w:rsid w:val="00953622"/>
    <w:rsid w:val="00985ABD"/>
    <w:rsid w:val="009A3A05"/>
    <w:rsid w:val="009D47B5"/>
    <w:rsid w:val="009E55EF"/>
    <w:rsid w:val="009F7614"/>
    <w:rsid w:val="00A027DE"/>
    <w:rsid w:val="00A54E34"/>
    <w:rsid w:val="00A55FA8"/>
    <w:rsid w:val="00A87B12"/>
    <w:rsid w:val="00A906A7"/>
    <w:rsid w:val="00AB09CE"/>
    <w:rsid w:val="00AB26E5"/>
    <w:rsid w:val="00AC497B"/>
    <w:rsid w:val="00B00E0C"/>
    <w:rsid w:val="00B015C6"/>
    <w:rsid w:val="00B31A3C"/>
    <w:rsid w:val="00B37C2F"/>
    <w:rsid w:val="00B4289C"/>
    <w:rsid w:val="00B44256"/>
    <w:rsid w:val="00B61988"/>
    <w:rsid w:val="00B650D2"/>
    <w:rsid w:val="00B671F2"/>
    <w:rsid w:val="00B678C4"/>
    <w:rsid w:val="00B70597"/>
    <w:rsid w:val="00B940F5"/>
    <w:rsid w:val="00BA458B"/>
    <w:rsid w:val="00BA4E11"/>
    <w:rsid w:val="00BC09DC"/>
    <w:rsid w:val="00BE3B91"/>
    <w:rsid w:val="00C133A5"/>
    <w:rsid w:val="00C41290"/>
    <w:rsid w:val="00C65393"/>
    <w:rsid w:val="00CB0662"/>
    <w:rsid w:val="00CB58B5"/>
    <w:rsid w:val="00CC6C49"/>
    <w:rsid w:val="00D053EF"/>
    <w:rsid w:val="00D24F2D"/>
    <w:rsid w:val="00D25C4C"/>
    <w:rsid w:val="00D4318C"/>
    <w:rsid w:val="00D57FA2"/>
    <w:rsid w:val="00DC1C78"/>
    <w:rsid w:val="00DF2022"/>
    <w:rsid w:val="00E246F4"/>
    <w:rsid w:val="00E34476"/>
    <w:rsid w:val="00E57A14"/>
    <w:rsid w:val="00E604DF"/>
    <w:rsid w:val="00E72D2E"/>
    <w:rsid w:val="00EA5D9A"/>
    <w:rsid w:val="00EA659E"/>
    <w:rsid w:val="00ED083D"/>
    <w:rsid w:val="00ED27DF"/>
    <w:rsid w:val="00ED5750"/>
    <w:rsid w:val="00EE31B6"/>
    <w:rsid w:val="00EE645F"/>
    <w:rsid w:val="00EF4CEC"/>
    <w:rsid w:val="00F02E85"/>
    <w:rsid w:val="00F242F0"/>
    <w:rsid w:val="00F62D8D"/>
    <w:rsid w:val="00F96C27"/>
    <w:rsid w:val="00FA645F"/>
    <w:rsid w:val="00FB3CFC"/>
    <w:rsid w:val="00FE0413"/>
    <w:rsid w:val="00FE4E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A31C1"/>
  <w15:chartTrackingRefBased/>
  <w15:docId w15:val="{33B20389-FEB8-4485-8958-F730072E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bidi/>
      <w:adjustRightInd w:val="0"/>
      <w:spacing w:line="360" w:lineRule="auto"/>
      <w:textAlignment w:val="baseline"/>
    </w:pPr>
    <w:rPr>
      <w:rFonts w:cs="David"/>
      <w:sz w:val="24"/>
      <w:szCs w:val="24"/>
      <w:lang w:eastAsia="he-I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alloon Text"/>
    <w:basedOn w:val="a"/>
    <w:link w:val="a6"/>
    <w:uiPriority w:val="99"/>
    <w:semiHidden/>
    <w:unhideWhenUsed/>
    <w:rsid w:val="003872C4"/>
    <w:pPr>
      <w:spacing w:line="240" w:lineRule="auto"/>
    </w:pPr>
    <w:rPr>
      <w:rFonts w:ascii="Tahoma" w:hAnsi="Tahoma" w:cs="Tahoma"/>
      <w:sz w:val="18"/>
      <w:szCs w:val="18"/>
    </w:rPr>
  </w:style>
  <w:style w:type="character" w:customStyle="1" w:styleId="a6">
    <w:name w:val="טקסט בלונים תו"/>
    <w:basedOn w:val="a0"/>
    <w:link w:val="a5"/>
    <w:uiPriority w:val="99"/>
    <w:semiHidden/>
    <w:rsid w:val="003872C4"/>
    <w:rPr>
      <w:rFonts w:ascii="Tahoma" w:hAnsi="Tahoma" w:cs="Tahoma"/>
      <w:sz w:val="18"/>
      <w:szCs w:val="18"/>
      <w:lang w:eastAsia="he-IL"/>
    </w:rPr>
  </w:style>
  <w:style w:type="paragraph" w:styleId="a7">
    <w:name w:val="Plain Text"/>
    <w:basedOn w:val="a"/>
    <w:link w:val="a8"/>
    <w:uiPriority w:val="99"/>
    <w:semiHidden/>
    <w:unhideWhenUsed/>
    <w:rsid w:val="009F7614"/>
    <w:pPr>
      <w:spacing w:line="240" w:lineRule="auto"/>
    </w:pPr>
    <w:rPr>
      <w:rFonts w:ascii="Consolas" w:hAnsi="Consolas"/>
      <w:sz w:val="21"/>
      <w:szCs w:val="21"/>
    </w:rPr>
  </w:style>
  <w:style w:type="character" w:customStyle="1" w:styleId="a8">
    <w:name w:val="טקסט רגיל תו"/>
    <w:basedOn w:val="a0"/>
    <w:link w:val="a7"/>
    <w:uiPriority w:val="99"/>
    <w:semiHidden/>
    <w:rsid w:val="009F7614"/>
    <w:rPr>
      <w:rFonts w:ascii="Consolas" w:hAnsi="Consolas" w:cs="David"/>
      <w:sz w:val="21"/>
      <w:szCs w:val="21"/>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256665">
      <w:bodyDiv w:val="1"/>
      <w:marLeft w:val="0"/>
      <w:marRight w:val="0"/>
      <w:marTop w:val="0"/>
      <w:marBottom w:val="0"/>
      <w:divBdr>
        <w:top w:val="none" w:sz="0" w:space="0" w:color="auto"/>
        <w:left w:val="none" w:sz="0" w:space="0" w:color="auto"/>
        <w:bottom w:val="none" w:sz="0" w:space="0" w:color="auto"/>
        <w:right w:val="none" w:sz="0" w:space="0" w:color="auto"/>
      </w:divBdr>
    </w:div>
    <w:div w:id="1041323078">
      <w:bodyDiv w:val="1"/>
      <w:marLeft w:val="0"/>
      <w:marRight w:val="0"/>
      <w:marTop w:val="0"/>
      <w:marBottom w:val="0"/>
      <w:divBdr>
        <w:top w:val="none" w:sz="0" w:space="0" w:color="auto"/>
        <w:left w:val="none" w:sz="0" w:space="0" w:color="auto"/>
        <w:bottom w:val="none" w:sz="0" w:space="0" w:color="auto"/>
        <w:right w:val="none" w:sz="0" w:space="0" w:color="auto"/>
      </w:divBdr>
    </w:div>
    <w:div w:id="1100103774">
      <w:bodyDiv w:val="1"/>
      <w:marLeft w:val="0"/>
      <w:marRight w:val="0"/>
      <w:marTop w:val="0"/>
      <w:marBottom w:val="0"/>
      <w:divBdr>
        <w:top w:val="none" w:sz="0" w:space="0" w:color="auto"/>
        <w:left w:val="none" w:sz="0" w:space="0" w:color="auto"/>
        <w:bottom w:val="none" w:sz="0" w:space="0" w:color="auto"/>
        <w:right w:val="none" w:sz="0" w:space="0" w:color="auto"/>
      </w:divBdr>
    </w:div>
    <w:div w:id="187446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1767</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תאריך: ‏י"א חשון, תשנ"ח</vt:lpstr>
      <vt:lpstr>								תאריך: ‏י"א חשון, תשנ"ח</vt:lpstr>
    </vt:vector>
  </TitlesOfParts>
  <Company>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‏י"א חשון, תשנ"ח</dc:title>
  <dc:subject/>
  <dc:creator>יובל לוי</dc:creator>
  <cp:keywords/>
  <dc:description/>
  <cp:lastModifiedBy>אלינור לרוש</cp:lastModifiedBy>
  <cp:revision>2</cp:revision>
  <cp:lastPrinted>2022-02-16T07:10:00Z</cp:lastPrinted>
  <dcterms:created xsi:type="dcterms:W3CDTF">2025-03-26T08:45:00Z</dcterms:created>
  <dcterms:modified xsi:type="dcterms:W3CDTF">2025-03-26T08:45:00Z</dcterms:modified>
</cp:coreProperties>
</file>