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2D" w:rsidRDefault="00BB012D" w:rsidP="00BB012D">
      <w:pPr>
        <w:rPr>
          <w:rFonts w:ascii="Calibri" w:eastAsia="Times New Roman" w:hAnsi="Calibri" w:cs="Calibri"/>
          <w:sz w:val="22"/>
          <w:szCs w:val="22"/>
        </w:rPr>
      </w:pPr>
      <w:r>
        <w:rPr>
          <w:rFonts w:ascii="Calibri" w:eastAsia="Times New Roman" w:hAnsi="Calibri" w:cs="Calibri"/>
          <w:b/>
          <w:bCs/>
          <w:sz w:val="22"/>
          <w:szCs w:val="22"/>
        </w:rPr>
        <w:t>Sent:</w:t>
      </w:r>
      <w:r>
        <w:rPr>
          <w:rFonts w:ascii="Calibri" w:eastAsia="Times New Roman" w:hAnsi="Calibri" w:cs="Calibri"/>
          <w:sz w:val="22"/>
          <w:szCs w:val="22"/>
        </w:rPr>
        <w:t xml:space="preserve"> Thursday, March 5, 2020 1:22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Elad Man, Advocate &amp; Solicitor</w:t>
      </w:r>
      <w:r>
        <w:rPr>
          <w:rFonts w:ascii="Calibri" w:eastAsia="Times New Roman" w:hAnsi="Calibri" w:cs="Calibri" w:hint="cs"/>
          <w:sz w:val="22"/>
          <w:szCs w:val="22"/>
          <w:rtl/>
        </w:rPr>
        <w:t>‏</w:t>
      </w:r>
      <w:r>
        <w:rPr>
          <w:rFonts w:ascii="Calibri" w:eastAsia="Times New Roman" w:hAnsi="Calibri" w:cs="Calibri"/>
          <w:sz w:val="22"/>
          <w:szCs w:val="22"/>
          <w:rtl/>
        </w:rPr>
        <w:t xml:space="preserve"> </w:t>
      </w:r>
      <w:r>
        <w:rPr>
          <w:rFonts w:ascii="Calibri" w:eastAsia="Times New Roman" w:hAnsi="Calibri" w:cs="Calibri"/>
          <w:sz w:val="22"/>
          <w:szCs w:val="22"/>
        </w:rPr>
        <w:t>&lt;elad@man-barak.com&gt;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w:t>
      </w:r>
      <w:r>
        <w:rPr>
          <w:rFonts w:ascii="Calibri" w:eastAsia="Times New Roman" w:hAnsi="Calibri" w:cs="Calibri" w:hint="cs"/>
          <w:sz w:val="22"/>
          <w:szCs w:val="22"/>
          <w:rtl/>
        </w:rPr>
        <w:t>מענה לבקשת חופש מידע בעניין פסיקת הוצאות מיום 12.12.2019</w:t>
      </w:r>
    </w:p>
    <w:p w:rsidR="00BB012D" w:rsidRDefault="00BB012D" w:rsidP="00BB012D">
      <w:pPr>
        <w:bidi/>
      </w:pPr>
    </w:p>
    <w:p w:rsidR="00BB012D" w:rsidRDefault="00BB012D" w:rsidP="00BB012D">
      <w:pPr>
        <w:pStyle w:val="NormalWeb"/>
        <w:bidi/>
        <w:spacing w:line="360" w:lineRule="auto"/>
        <w:rPr>
          <w:rFonts w:ascii="Calibri" w:hAnsi="Calibri" w:cs="Calibri"/>
          <w:color w:val="002060"/>
          <w:sz w:val="22"/>
          <w:szCs w:val="22"/>
        </w:rPr>
      </w:pPr>
      <w:r>
        <w:rPr>
          <w:rFonts w:ascii="David" w:hAnsi="David" w:cs="David"/>
          <w:color w:val="002060"/>
          <w:rtl/>
        </w:rPr>
        <w:t>עו"ד אלעד מן שלום רב,</w:t>
      </w:r>
    </w:p>
    <w:p w:rsidR="00BB012D" w:rsidRDefault="00BB012D" w:rsidP="00BB012D">
      <w:pPr>
        <w:pStyle w:val="NormalWeb"/>
        <w:bidi/>
        <w:spacing w:line="360" w:lineRule="auto"/>
        <w:rPr>
          <w:rFonts w:ascii="Calibri" w:hAnsi="Calibri" w:cs="Calibri"/>
          <w:color w:val="002060"/>
          <w:sz w:val="22"/>
          <w:szCs w:val="22"/>
        </w:rPr>
      </w:pPr>
      <w:r>
        <w:rPr>
          <w:rFonts w:ascii="David" w:hAnsi="David" w:cs="David"/>
          <w:color w:val="002060"/>
          <w:rtl/>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1.   ביום 12.12.2019 הגשת בקשה רוחבית לכלל משרדי הממשלה בעניין פסיקת הוצאות ושכ"ט בתיקי עתירות בהם מעורבים המשרדים (מצ"ב הבקשה). ביום 25.12.19 היחידה הממשלתית לחופש המידע במשרד המשפטים פרסמה הנחיה באשר לטיפול בבקשה. לפי ההנחיה, עיקר בקשת המידע עוסקת במידע שאין מניעה משפטית למוסרו בהתאם לסעיף 9 לחוק חופש המידע, התשנ"ח-1988 (להלן: "</w:t>
      </w:r>
      <w:r>
        <w:rPr>
          <w:rFonts w:ascii="David" w:hAnsi="David" w:cs="David"/>
          <w:b/>
          <w:bCs/>
          <w:color w:val="002060"/>
          <w:rtl/>
        </w:rPr>
        <w:t>החוק</w:t>
      </w:r>
      <w:r>
        <w:rPr>
          <w:rFonts w:ascii="David" w:hAnsi="David" w:cs="David"/>
          <w:color w:val="002060"/>
          <w:rtl/>
        </w:rPr>
        <w:t>"), עם זאת, בשים לב לכך שאופן ניהול מידע זה עשוי להשתנות בין הרשויות מבחינת מספר העתירות, ההליכים וההוצאות, וכן מבחינת האמצעים העומדים לרשות לצורך שליפת הנתונים, ההנחיה קבעה כי יש לבחון את מסירת המידע בראי סעיף 8(1) לחוק. עוד צוין בהנחיה, כי ככל שיוחלט שמסירת המידע כרוכה בהקצאת משאבים בלתי סבירה, יש לבחון את האפשרות למסירת מידע חלקי לפי סעיף 11 לחוק. מצ"ב ההנחיה.</w:t>
      </w:r>
    </w:p>
    <w:p w:rsidR="00BB012D" w:rsidRDefault="00BB012D" w:rsidP="00BB012D">
      <w:pPr>
        <w:pStyle w:val="NormalWeb"/>
        <w:bidi/>
        <w:spacing w:line="360" w:lineRule="auto"/>
        <w:ind w:left="720"/>
        <w:rPr>
          <w:rFonts w:ascii="Calibri" w:hAnsi="Calibri" w:cs="Calibri"/>
          <w:color w:val="002060"/>
          <w:sz w:val="22"/>
          <w:szCs w:val="22"/>
          <w:rtl/>
        </w:rPr>
      </w:pPr>
      <w:r>
        <w:rPr>
          <w:rFonts w:ascii="David" w:hAnsi="David" w:cs="David"/>
          <w:color w:val="002060"/>
          <w:rtl/>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2.   משרד ראש הממשלה (להלן: "</w:t>
      </w:r>
      <w:r>
        <w:rPr>
          <w:rFonts w:ascii="David" w:hAnsi="David" w:cs="David"/>
          <w:b/>
          <w:bCs/>
          <w:color w:val="002060"/>
          <w:rtl/>
        </w:rPr>
        <w:t>המשרד</w:t>
      </w:r>
      <w:r>
        <w:rPr>
          <w:rFonts w:ascii="David" w:hAnsi="David" w:cs="David"/>
          <w:color w:val="002060"/>
          <w:rtl/>
        </w:rPr>
        <w:t xml:space="preserve">") הוא משרד מטה, המתאם פעולות בין משרדיות בתחומים שונים ומגוונים ושבמסגרתו פועלים מספר רב של גופים, אשר חלקם משולבים בפעילותו השוטפת וחלקם מהווים יחידות עצמאיות ונפרדות. כיוון שכך, בכל שנה המשרד משיב לעתירות בתחומים שונים הנוגעים לעיסוקו. </w:t>
      </w:r>
    </w:p>
    <w:p w:rsidR="00BB012D" w:rsidRDefault="00BB012D" w:rsidP="00BB012D">
      <w:pPr>
        <w:pStyle w:val="NormalWeb"/>
        <w:bidi/>
        <w:spacing w:line="360" w:lineRule="auto"/>
        <w:ind w:left="720"/>
        <w:rPr>
          <w:rFonts w:ascii="Calibri" w:hAnsi="Calibri" w:cs="Calibri"/>
          <w:color w:val="002060"/>
          <w:sz w:val="22"/>
          <w:szCs w:val="22"/>
          <w:rtl/>
        </w:rPr>
      </w:pPr>
      <w:r>
        <w:rPr>
          <w:rFonts w:ascii="David" w:hAnsi="David" w:cs="David"/>
          <w:color w:val="002060"/>
          <w:rtl/>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3.   מבירור שנערך עם גורמי המקצוע בלשכה המשפטית שבמשרד וכן עם הלשכות המשפטיות ביחידות של המשרד, הריני להשיבך כדלקמן:</w:t>
      </w:r>
    </w:p>
    <w:p w:rsidR="00BB012D" w:rsidRDefault="00BB012D" w:rsidP="00BB012D">
      <w:pPr>
        <w:pStyle w:val="NormalWeb"/>
        <w:bidi/>
        <w:spacing w:line="360" w:lineRule="auto"/>
        <w:ind w:left="720"/>
        <w:rPr>
          <w:rFonts w:ascii="Calibri" w:hAnsi="Calibri" w:cs="Calibri"/>
          <w:color w:val="002060"/>
          <w:sz w:val="22"/>
          <w:szCs w:val="22"/>
          <w:rtl/>
        </w:rPr>
      </w:pPr>
      <w:r>
        <w:rPr>
          <w:rFonts w:ascii="David" w:hAnsi="David" w:cs="David"/>
          <w:color w:val="002060"/>
          <w:rtl/>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 xml:space="preserve">3.1  מצ"ב טבלה המרכזת את המידע על אודות העתירות שניתן בעניינן פסק דין או החלטה אחרת הנוגעת להוצאות לשנת 2019, בפירוט של: סוג ההליך ומספרו, סוג ההחלטה שניתנה (פס"ד/החלטה אחרת) וסכום ההוצאות שנפסק, ככל שנפסק. הטבלה כוללת את כלל העתירות המנהליות וההליכים שהתנהלו בבג"ץ נגד משרד ראש הממשלה ויחידותיו, ראש הממשלה וכן הליכים שבהם ממשלת ישראל היתה משיבה, ככל שטופלו במשרדנו. יצוין כי הטבלה כוללת גם מידע על אודות יחידות המשרד לרבות: רשות התקשוב הממשלתי, לשכת הקשר נתיב, ארכיון המדינה, אגף טיוב רגולציה וכן מערך הגיור. </w:t>
      </w:r>
    </w:p>
    <w:p w:rsidR="00BB012D" w:rsidRDefault="00BB012D" w:rsidP="00BB012D">
      <w:pPr>
        <w:pStyle w:val="NormalWeb"/>
        <w:bidi/>
        <w:spacing w:line="360" w:lineRule="auto"/>
        <w:ind w:left="720"/>
        <w:rPr>
          <w:rFonts w:ascii="Calibri" w:hAnsi="Calibri" w:cs="Calibri"/>
          <w:color w:val="002060"/>
          <w:sz w:val="22"/>
          <w:szCs w:val="22"/>
          <w:rtl/>
        </w:rPr>
      </w:pPr>
      <w:r>
        <w:rPr>
          <w:rFonts w:ascii="David" w:hAnsi="David" w:cs="David"/>
          <w:color w:val="002060"/>
          <w:rtl/>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 xml:space="preserve">3.2  בנוסף, בטבלה קיים מידע גם ביחס לעתירות מנהליות שהוגשו לפי החוק לבית המשפט המחוזי בשבתו כבית משפט לעניינים מנהליים, שניתן בעניינן פסק דין או החלטה אחרת בשנת 2018. </w:t>
      </w:r>
    </w:p>
    <w:p w:rsidR="00BB012D" w:rsidRDefault="00BB012D" w:rsidP="00BB012D">
      <w:pPr>
        <w:pStyle w:val="NormalWeb"/>
        <w:bidi/>
        <w:spacing w:line="360" w:lineRule="auto"/>
        <w:ind w:left="720"/>
        <w:rPr>
          <w:rFonts w:ascii="Calibri" w:hAnsi="Calibri" w:cs="Calibri"/>
          <w:color w:val="002060"/>
          <w:sz w:val="22"/>
          <w:szCs w:val="22"/>
          <w:rtl/>
        </w:rPr>
      </w:pPr>
      <w:r>
        <w:rPr>
          <w:rFonts w:ascii="David" w:hAnsi="David" w:cs="David"/>
          <w:color w:val="002060"/>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 xml:space="preserve">3.3 ביחס למידע הנוגע לשנת 2017 וליתר המידע המבוקש לשנת 2018 – בידי המשרד לא קיימת רשימה הכוללת את כל התיקים וההחלטות שהתקבלו והמידע המבוקש לא מצוי בידי המשרד בתצורה המבוקשת. לאור האמור עולה כי היענות לבקשתך משמעה הפקת </w:t>
      </w:r>
      <w:r>
        <w:rPr>
          <w:rFonts w:ascii="David" w:hAnsi="David" w:cs="David"/>
          <w:color w:val="002060"/>
          <w:rtl/>
        </w:rPr>
        <w:lastRenderedPageBreak/>
        <w:t>מידע חדש בהתאם לסעיף 7(ה) לחוק, ומשכך הוחלט שלא למסור מידע זה. כמו כן, מבירור שנערך מול גורמי המקצוע הרלוונטיים במשרד עולה כי היענות מלאה לבקשה תעלה גם כדי הקצאת משאבים בלתי סבירה בהתאם לסעיף 8(1) לחוק, זאת מאחר שאיסוף המידע והכנתו יצריך השקעת שעות עבודה רבות מטעם הגורמים הרלוונטיים לצורך ריכוז המידע ובדיקתו, על חשבון המשימות השוטפות, באופן שיחייב הסטת משאב קיים ממשימתם העיקרית למשימה אחרת.</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3.4  בנוסף, במקרה דנן נקודת האיזון מטה את הכף לכיוון אינטרס היעילות האדמיניסטרטיבית, זאת בהתחשב בכך שמרבית המידע המבוקש על ידך נוגע לעתירות שהוגשו לבית המשפט העליון בשבתו כבג"ץ, ומשכך עומד לרשות הציבור בצורה נגישה ביותר באתר של בית המשפט העליון, וכן בהתחשב באמור בסעיף 3.3 לעיל. על כן, אנו סבורים כי מסירת המידע הנוגע לחלק גדול מהתקופה המבוקשת מבטאת באופן ראוי את נקודת האיזון בין זכותך לקבלת מידע לבין האינטרסים האמורים.</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4.   אשר על כן, לאור האמור לעיל ובהתאם להנחיה של היחידה הממשלתית לחופש המידע, הוחלט למסור את המידע הנוגע לכלל ההליכים בהם משרד ראש הממשלה ויחידותיו, ראש הממשלה וממשלת ישראל היו משיבים, בשנת 2019. כמו כן, בנוגע לשנת 2018, הוחלט למסור מידע הנוגע לעתירות מנהליות שהוגשו בהתאם לחוק כנגד משרד ראש הממשלה לבית המשפט המחוזי, בשבתו כבית משפט לעניינים מנהליים, זאת בשים לב לפומביות שלו ולנגישות של החלטות בית המשפט העליון.</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 </w:t>
      </w:r>
    </w:p>
    <w:p w:rsidR="00BB012D" w:rsidRDefault="00BB012D" w:rsidP="00BB012D">
      <w:pPr>
        <w:pStyle w:val="NormalWeb"/>
        <w:bidi/>
        <w:spacing w:line="360" w:lineRule="auto"/>
        <w:ind w:left="720" w:hanging="360"/>
        <w:rPr>
          <w:rFonts w:ascii="Calibri" w:hAnsi="Calibri" w:cs="Calibri"/>
          <w:color w:val="002060"/>
          <w:sz w:val="22"/>
          <w:szCs w:val="22"/>
          <w:rtl/>
        </w:rPr>
      </w:pPr>
      <w:r>
        <w:rPr>
          <w:rFonts w:ascii="David" w:hAnsi="David" w:cs="David"/>
          <w:color w:val="002060"/>
          <w:rtl/>
        </w:rPr>
        <w:t>5.   בהתאם לסעיף 7(ו) לחוק, אתה זכאי לעתור על החלטה זו לפי הוראות חוק בתי המשפט לעניינים מנהליים, התש"ס-2000.</w:t>
      </w:r>
    </w:p>
    <w:p w:rsidR="00BB012D" w:rsidRDefault="00BB012D" w:rsidP="00BB012D">
      <w:pPr>
        <w:pStyle w:val="NormalWeb"/>
        <w:bidi/>
        <w:spacing w:line="360" w:lineRule="auto"/>
        <w:ind w:left="720"/>
        <w:rPr>
          <w:rFonts w:ascii="Calibri" w:hAnsi="Calibri" w:cs="Calibri"/>
          <w:color w:val="002060"/>
          <w:sz w:val="22"/>
          <w:szCs w:val="22"/>
          <w:rtl/>
        </w:rPr>
      </w:pPr>
      <w:r>
        <w:rPr>
          <w:rFonts w:ascii="David" w:hAnsi="David" w:cs="David"/>
          <w:color w:val="002060"/>
          <w:rtl/>
        </w:rPr>
        <w:t> </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tl/>
        </w:rPr>
        <w:t> </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tl/>
        </w:rPr>
        <w:t>בברכה,</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tl/>
        </w:rPr>
        <w:t>שקד פרידריך לבטוב</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tl/>
        </w:rPr>
        <w:t>ממונה על יישום חוק חופש המידע</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tl/>
        </w:rPr>
        <w:t>משרד ראש הממשלה</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Pr>
        <w:t> </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Pr>
        <w:t> </w:t>
      </w:r>
    </w:p>
    <w:p w:rsidR="00BB012D" w:rsidRDefault="00BB012D" w:rsidP="00BB012D">
      <w:pPr>
        <w:pStyle w:val="NormalWeb"/>
        <w:bidi/>
        <w:spacing w:line="360" w:lineRule="auto"/>
        <w:rPr>
          <w:rFonts w:ascii="Calibri" w:hAnsi="Calibri" w:cs="Calibri"/>
          <w:color w:val="000000"/>
          <w:sz w:val="22"/>
          <w:szCs w:val="22"/>
          <w:rtl/>
        </w:rPr>
      </w:pPr>
      <w:r>
        <w:rPr>
          <w:rFonts w:ascii="David" w:hAnsi="David" w:cs="David"/>
          <w:color w:val="002060"/>
          <w:rtl/>
        </w:rPr>
        <w:t> </w:t>
      </w:r>
    </w:p>
    <w:tbl>
      <w:tblPr>
        <w:tblpPr w:leftFromText="180" w:rightFromText="180" w:bottomFromText="25" w:vertAnchor="text" w:tblpXSpec="right" w:tblpYSpec="center"/>
        <w:bidiVisual/>
        <w:tblW w:w="6090" w:type="dxa"/>
        <w:tblCellMar>
          <w:left w:w="0" w:type="dxa"/>
          <w:right w:w="0" w:type="dxa"/>
        </w:tblCellMar>
        <w:tblLook w:val="04A0" w:firstRow="1" w:lastRow="0" w:firstColumn="1" w:lastColumn="0" w:noHBand="0" w:noVBand="1"/>
      </w:tblPr>
      <w:tblGrid>
        <w:gridCol w:w="2080"/>
        <w:gridCol w:w="375"/>
        <w:gridCol w:w="317"/>
        <w:gridCol w:w="3318"/>
      </w:tblGrid>
      <w:tr w:rsidR="00BB012D" w:rsidTr="00BB012D">
        <w:tc>
          <w:tcPr>
            <w:tcW w:w="2080" w:type="dxa"/>
            <w:vAlign w:val="center"/>
            <w:hideMark/>
          </w:tcPr>
          <w:p w:rsidR="00BB012D" w:rsidRDefault="00BB012D">
            <w:pPr>
              <w:rPr>
                <w:rFonts w:ascii="Calibri" w:hAnsi="Calibri" w:cs="Calibri"/>
                <w:color w:val="000000"/>
                <w:sz w:val="22"/>
                <w:szCs w:val="22"/>
                <w:rtl/>
              </w:rPr>
            </w:pPr>
          </w:p>
        </w:tc>
        <w:tc>
          <w:tcPr>
            <w:tcW w:w="375" w:type="dxa"/>
            <w:vAlign w:val="center"/>
            <w:hideMark/>
          </w:tcPr>
          <w:p w:rsidR="00BB012D" w:rsidRDefault="00BB012D">
            <w:pPr>
              <w:bidi/>
              <w:rPr>
                <w:rFonts w:eastAsia="Times New Roman"/>
                <w:sz w:val="20"/>
                <w:szCs w:val="20"/>
              </w:rPr>
            </w:pPr>
          </w:p>
        </w:tc>
        <w:tc>
          <w:tcPr>
            <w:tcW w:w="317" w:type="dxa"/>
            <w:vAlign w:val="center"/>
            <w:hideMark/>
          </w:tcPr>
          <w:p w:rsidR="00BB012D" w:rsidRDefault="00BB012D">
            <w:pPr>
              <w:bidi/>
              <w:rPr>
                <w:rFonts w:eastAsia="Times New Roman"/>
                <w:sz w:val="20"/>
                <w:szCs w:val="20"/>
              </w:rPr>
            </w:pPr>
          </w:p>
        </w:tc>
        <w:tc>
          <w:tcPr>
            <w:tcW w:w="3318" w:type="dxa"/>
            <w:vAlign w:val="center"/>
            <w:hideMark/>
          </w:tcPr>
          <w:p w:rsidR="00BB012D" w:rsidRDefault="00BB012D">
            <w:pPr>
              <w:bidi/>
              <w:rPr>
                <w:rFonts w:eastAsia="Times New Roman"/>
                <w:sz w:val="20"/>
                <w:szCs w:val="20"/>
              </w:rPr>
            </w:pPr>
          </w:p>
        </w:tc>
      </w:tr>
    </w:tbl>
    <w:p w:rsidR="00BB012D" w:rsidRDefault="00BB012D" w:rsidP="00BB012D">
      <w:pPr>
        <w:pStyle w:val="NormalWeb"/>
        <w:bidi/>
        <w:spacing w:line="360" w:lineRule="auto"/>
        <w:rPr>
          <w:rFonts w:ascii="Calibri" w:hAnsi="Calibri" w:cs="Calibri"/>
          <w:color w:val="000000"/>
          <w:sz w:val="22"/>
          <w:szCs w:val="22"/>
        </w:rPr>
      </w:pPr>
      <w:r>
        <w:rPr>
          <w:rFonts w:ascii="David" w:hAnsi="David" w:cs="David"/>
          <w:color w:val="002060"/>
        </w:rPr>
        <w:t> </w:t>
      </w:r>
    </w:p>
    <w:p w:rsidR="00BB012D" w:rsidRDefault="00BB012D" w:rsidP="00BB012D">
      <w:pPr>
        <w:pStyle w:val="NormalWeb"/>
        <w:bidi/>
        <w:spacing w:line="360" w:lineRule="auto"/>
        <w:rPr>
          <w:rFonts w:ascii="Calibri" w:hAnsi="Calibri" w:cs="Calibri"/>
          <w:color w:val="000000"/>
          <w:sz w:val="22"/>
          <w:szCs w:val="22"/>
        </w:rPr>
      </w:pPr>
      <w:r>
        <w:rPr>
          <w:rFonts w:ascii="David" w:hAnsi="David" w:cs="David"/>
          <w:color w:val="002060"/>
        </w:rPr>
        <w:t> </w:t>
      </w:r>
    </w:p>
    <w:p w:rsidR="00BB012D" w:rsidRDefault="00BB012D" w:rsidP="00BB012D">
      <w:pPr>
        <w:pStyle w:val="NormalWeb"/>
        <w:bidi/>
        <w:rPr>
          <w:rFonts w:ascii="Calibri" w:hAnsi="Calibri" w:cs="Calibri"/>
          <w:color w:val="000000"/>
          <w:sz w:val="22"/>
          <w:szCs w:val="22"/>
          <w:rtl/>
        </w:rPr>
      </w:pPr>
      <w:r>
        <w:rPr>
          <w:rFonts w:ascii="Calibri" w:hAnsi="Calibri" w:cs="Calibri"/>
          <w:color w:val="1F497D"/>
          <w:sz w:val="22"/>
          <w:szCs w:val="22"/>
        </w:rPr>
        <w:t> </w:t>
      </w:r>
    </w:p>
    <w:p w:rsidR="00466F33" w:rsidRDefault="00BB012D">
      <w:bookmarkStart w:id="0" w:name="_GoBack"/>
      <w:bookmarkEnd w:id="0"/>
    </w:p>
    <w:sectPr w:rsidR="00466F33"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2D"/>
    <w:rsid w:val="00BB012D"/>
    <w:rsid w:val="00C745A6"/>
    <w:rsid w:val="00CA3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14FD4-8D48-4F1B-B896-395BFD8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B012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B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9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3022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2020-03-05T11:27:00Z</dcterms:created>
  <dcterms:modified xsi:type="dcterms:W3CDTF">2020-03-05T11:27:00Z</dcterms:modified>
</cp:coreProperties>
</file>