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E98ED" w14:textId="4D53E704" w:rsidR="000A4F26" w:rsidRPr="00021393" w:rsidRDefault="007B6177" w:rsidP="00021393">
      <w:pPr>
        <w:bidi/>
        <w:jc w:val="center"/>
        <w:rPr>
          <w:rFonts w:ascii="David" w:hAnsi="David" w:cs="David"/>
          <w:b/>
          <w:bCs/>
          <w:sz w:val="28"/>
          <w:szCs w:val="28"/>
          <w:rtl/>
          <w:lang w:bidi="he-IL"/>
        </w:rPr>
      </w:pPr>
      <w:r w:rsidRPr="00021393">
        <w:rPr>
          <w:rFonts w:ascii="David" w:hAnsi="David" w:cs="David" w:hint="cs"/>
          <w:b/>
          <w:bCs/>
          <w:sz w:val="28"/>
          <w:szCs w:val="28"/>
          <w:rtl/>
          <w:lang w:bidi="he-IL"/>
        </w:rPr>
        <w:t xml:space="preserve">מועצת העיתונות </w:t>
      </w:r>
      <w:r w:rsidR="001177BC" w:rsidRPr="00021393">
        <w:rPr>
          <w:rFonts w:ascii="David" w:hAnsi="David" w:cs="David" w:hint="cs"/>
          <w:b/>
          <w:bCs/>
          <w:sz w:val="28"/>
          <w:szCs w:val="28"/>
          <w:rtl/>
          <w:lang w:bidi="he-IL"/>
        </w:rPr>
        <w:t xml:space="preserve">והתקשורת </w:t>
      </w:r>
      <w:r w:rsidRPr="00021393">
        <w:rPr>
          <w:rFonts w:ascii="David" w:hAnsi="David" w:cs="David" w:hint="cs"/>
          <w:b/>
          <w:bCs/>
          <w:sz w:val="28"/>
          <w:szCs w:val="28"/>
          <w:rtl/>
          <w:lang w:bidi="he-IL"/>
        </w:rPr>
        <w:t>בישראל</w:t>
      </w:r>
      <w:r w:rsidR="006969A4" w:rsidRPr="00021393">
        <w:rPr>
          <w:rFonts w:ascii="David" w:hAnsi="David" w:cs="David" w:hint="cs"/>
          <w:b/>
          <w:bCs/>
          <w:sz w:val="28"/>
          <w:szCs w:val="28"/>
          <w:rtl/>
          <w:lang w:bidi="he-IL"/>
        </w:rPr>
        <w:t xml:space="preserve"> </w:t>
      </w:r>
    </w:p>
    <w:p w14:paraId="023841FC" w14:textId="7EE453EE" w:rsidR="00995DDF" w:rsidRPr="00A53B8E" w:rsidRDefault="000A4F26" w:rsidP="00021393">
      <w:pPr>
        <w:bidi/>
        <w:jc w:val="center"/>
        <w:rPr>
          <w:rFonts w:ascii="David" w:hAnsi="David" w:cs="David"/>
          <w:b/>
          <w:bCs/>
          <w:sz w:val="28"/>
          <w:szCs w:val="28"/>
          <w:u w:val="single"/>
          <w:rtl/>
          <w:lang w:bidi="he-IL"/>
        </w:rPr>
      </w:pPr>
      <w:r>
        <w:rPr>
          <w:rFonts w:ascii="David" w:hAnsi="David" w:cs="David" w:hint="cs"/>
          <w:b/>
          <w:bCs/>
          <w:sz w:val="28"/>
          <w:szCs w:val="28"/>
          <w:u w:val="single"/>
          <w:rtl/>
          <w:lang w:bidi="he-IL"/>
        </w:rPr>
        <w:t xml:space="preserve">בית הדין לאתיקה </w:t>
      </w:r>
      <w:r w:rsidR="006969A4" w:rsidRPr="00A53B8E">
        <w:rPr>
          <w:rFonts w:ascii="David" w:hAnsi="David" w:cs="David" w:hint="cs"/>
          <w:b/>
          <w:bCs/>
          <w:sz w:val="28"/>
          <w:szCs w:val="28"/>
          <w:u w:val="single"/>
          <w:rtl/>
          <w:lang w:bidi="he-IL"/>
        </w:rPr>
        <w:t>בשבתו כבית-דין לערעורים</w:t>
      </w:r>
    </w:p>
    <w:p w14:paraId="08F23ACA" w14:textId="4C056EE8" w:rsidR="007B6177" w:rsidRPr="00A53B8E" w:rsidRDefault="007B6177" w:rsidP="006969A4">
      <w:pPr>
        <w:bidi/>
        <w:spacing w:line="360" w:lineRule="auto"/>
        <w:jc w:val="both"/>
        <w:rPr>
          <w:rFonts w:ascii="David" w:hAnsi="David" w:cs="David"/>
          <w:rtl/>
          <w:lang w:bidi="he-IL"/>
        </w:rPr>
      </w:pPr>
    </w:p>
    <w:p w14:paraId="077C9805" w14:textId="18D3237F" w:rsidR="001177BC" w:rsidRPr="00A53B8E" w:rsidRDefault="001177BC" w:rsidP="001177BC">
      <w:pPr>
        <w:bidi/>
        <w:spacing w:line="360" w:lineRule="auto"/>
        <w:jc w:val="both"/>
        <w:rPr>
          <w:rFonts w:ascii="David" w:hAnsi="David" w:cs="David"/>
          <w:b/>
          <w:bCs/>
          <w:rtl/>
          <w:lang w:bidi="he-IL"/>
        </w:rPr>
      </w:pPr>
      <w:r w:rsidRPr="00A53B8E">
        <w:rPr>
          <w:rFonts w:ascii="David" w:hAnsi="David" w:cs="David" w:hint="cs"/>
          <w:b/>
          <w:bCs/>
          <w:rtl/>
          <w:lang w:bidi="he-IL"/>
        </w:rPr>
        <w:t xml:space="preserve">                                                                                                                                       ערעור בתיק מס׳ 26/2019</w:t>
      </w:r>
    </w:p>
    <w:p w14:paraId="76DCD6B7" w14:textId="77777777" w:rsidR="001177BC" w:rsidRPr="00A53B8E" w:rsidRDefault="001177BC" w:rsidP="001177BC">
      <w:pPr>
        <w:bidi/>
        <w:spacing w:line="360" w:lineRule="auto"/>
        <w:jc w:val="both"/>
        <w:rPr>
          <w:rFonts w:ascii="David" w:hAnsi="David" w:cs="David"/>
          <w:rtl/>
          <w:lang w:bidi="he-IL"/>
        </w:rPr>
      </w:pPr>
    </w:p>
    <w:p w14:paraId="2D3D5266" w14:textId="2B95979D" w:rsidR="007B6177" w:rsidRPr="00A53B8E" w:rsidRDefault="007B6177" w:rsidP="006825D3">
      <w:pPr>
        <w:bidi/>
        <w:ind w:left="4" w:right="1985"/>
        <w:jc w:val="both"/>
        <w:rPr>
          <w:rFonts w:ascii="David" w:hAnsi="David" w:cs="David"/>
          <w:b/>
          <w:bCs/>
          <w:rtl/>
          <w:lang w:bidi="he-IL"/>
        </w:rPr>
      </w:pPr>
      <w:r w:rsidRPr="00A53B8E">
        <w:rPr>
          <w:rFonts w:ascii="David" w:hAnsi="David" w:cs="David" w:hint="cs"/>
          <w:b/>
          <w:bCs/>
          <w:rtl/>
          <w:lang w:bidi="he-IL"/>
        </w:rPr>
        <w:t>בפני:</w:t>
      </w:r>
    </w:p>
    <w:p w14:paraId="3744BD1D" w14:textId="7D43569E" w:rsidR="007B6177" w:rsidRPr="00A53B8E" w:rsidRDefault="007B6177" w:rsidP="006825D3">
      <w:pPr>
        <w:bidi/>
        <w:ind w:left="3406" w:right="1985"/>
        <w:jc w:val="both"/>
        <w:rPr>
          <w:rFonts w:ascii="David" w:hAnsi="David" w:cs="David"/>
          <w:rtl/>
          <w:lang w:bidi="he-IL"/>
        </w:rPr>
      </w:pPr>
      <w:r w:rsidRPr="00A53B8E">
        <w:rPr>
          <w:rFonts w:ascii="David" w:hAnsi="David" w:cs="David" w:hint="cs"/>
          <w:rtl/>
          <w:lang w:bidi="he-IL"/>
        </w:rPr>
        <w:t>פרופ׳ מוחמד ותד (יו״ר)</w:t>
      </w:r>
    </w:p>
    <w:p w14:paraId="1B5ED80C" w14:textId="58426200" w:rsidR="007B6177" w:rsidRPr="00A53B8E" w:rsidRDefault="007B6177" w:rsidP="006825D3">
      <w:pPr>
        <w:bidi/>
        <w:ind w:left="3406" w:right="1985"/>
        <w:jc w:val="both"/>
        <w:rPr>
          <w:rFonts w:ascii="David" w:hAnsi="David" w:cs="David"/>
          <w:rtl/>
          <w:lang w:bidi="he-IL"/>
        </w:rPr>
      </w:pPr>
      <w:r w:rsidRPr="00A53B8E">
        <w:rPr>
          <w:rFonts w:ascii="David" w:hAnsi="David" w:cs="David" w:hint="cs"/>
          <w:rtl/>
          <w:lang w:bidi="he-IL"/>
        </w:rPr>
        <w:t>השופטת (בדימוס) זיוה הדסי-הרמן</w:t>
      </w:r>
    </w:p>
    <w:p w14:paraId="05B6744B" w14:textId="0644ADF1" w:rsidR="007B6177" w:rsidRPr="00A53B8E" w:rsidRDefault="007B6177" w:rsidP="006825D3">
      <w:pPr>
        <w:bidi/>
        <w:ind w:left="3406" w:right="1985"/>
        <w:jc w:val="both"/>
        <w:rPr>
          <w:rFonts w:ascii="David" w:hAnsi="David" w:cs="David"/>
          <w:rtl/>
          <w:lang w:bidi="he-IL"/>
        </w:rPr>
      </w:pPr>
      <w:r w:rsidRPr="00A53B8E">
        <w:rPr>
          <w:rFonts w:ascii="David" w:hAnsi="David" w:cs="David" w:hint="cs"/>
          <w:rtl/>
          <w:lang w:bidi="he-IL"/>
        </w:rPr>
        <w:t>עו״ד עצמון</w:t>
      </w:r>
      <w:r w:rsidR="005E764A">
        <w:rPr>
          <w:rFonts w:ascii="David" w:hAnsi="David" w:cs="David" w:hint="cs"/>
          <w:rtl/>
          <w:lang w:bidi="he-IL"/>
        </w:rPr>
        <w:t xml:space="preserve"> יניב</w:t>
      </w:r>
    </w:p>
    <w:p w14:paraId="378DE5DC" w14:textId="58001249" w:rsidR="007B6177" w:rsidRPr="00A53B8E" w:rsidRDefault="007B6177" w:rsidP="006825D3">
      <w:pPr>
        <w:bidi/>
        <w:ind w:left="3406" w:right="1985"/>
        <w:jc w:val="both"/>
        <w:rPr>
          <w:rFonts w:ascii="David" w:hAnsi="David" w:cs="David"/>
          <w:rtl/>
          <w:lang w:bidi="he-IL"/>
        </w:rPr>
      </w:pPr>
      <w:r w:rsidRPr="00A53B8E">
        <w:rPr>
          <w:rFonts w:ascii="David" w:hAnsi="David" w:cs="David" w:hint="cs"/>
          <w:rtl/>
          <w:lang w:bidi="he-IL"/>
        </w:rPr>
        <w:t>ד״ר צגה מלקו</w:t>
      </w:r>
    </w:p>
    <w:p w14:paraId="15CA5543" w14:textId="60CC1330" w:rsidR="007B6177" w:rsidRPr="00A53B8E" w:rsidRDefault="007B6177" w:rsidP="006825D3">
      <w:pPr>
        <w:bidi/>
        <w:ind w:left="3406" w:right="1985"/>
        <w:jc w:val="both"/>
        <w:rPr>
          <w:rFonts w:ascii="David" w:hAnsi="David" w:cs="David"/>
          <w:rtl/>
          <w:lang w:bidi="he-IL"/>
        </w:rPr>
      </w:pPr>
      <w:r w:rsidRPr="00A53B8E">
        <w:rPr>
          <w:rFonts w:ascii="David" w:hAnsi="David" w:cs="David" w:hint="cs"/>
          <w:rtl/>
          <w:lang w:bidi="he-IL"/>
        </w:rPr>
        <w:t>ד״ר ערד ניר</w:t>
      </w:r>
    </w:p>
    <w:p w14:paraId="1008FCEB" w14:textId="0E353881" w:rsidR="007B6177" w:rsidRPr="00A53B8E" w:rsidRDefault="007B6177" w:rsidP="006825D3">
      <w:pPr>
        <w:bidi/>
        <w:ind w:left="3406" w:right="1985"/>
        <w:jc w:val="both"/>
        <w:rPr>
          <w:rFonts w:ascii="David" w:hAnsi="David" w:cs="David"/>
          <w:rtl/>
          <w:lang w:bidi="he-IL"/>
        </w:rPr>
      </w:pPr>
      <w:r w:rsidRPr="00A53B8E">
        <w:rPr>
          <w:rFonts w:ascii="David" w:hAnsi="David" w:cs="David" w:hint="cs"/>
          <w:rtl/>
          <w:lang w:bidi="he-IL"/>
        </w:rPr>
        <w:t xml:space="preserve">יונת </w:t>
      </w:r>
      <w:proofErr w:type="spellStart"/>
      <w:r w:rsidRPr="00A53B8E">
        <w:rPr>
          <w:rFonts w:ascii="David" w:hAnsi="David" w:cs="David" w:hint="cs"/>
          <w:rtl/>
          <w:lang w:bidi="he-IL"/>
        </w:rPr>
        <w:t>פרילינג</w:t>
      </w:r>
      <w:proofErr w:type="spellEnd"/>
    </w:p>
    <w:p w14:paraId="1B82FF5A" w14:textId="2AC57339" w:rsidR="007B6177" w:rsidRPr="00A53B8E" w:rsidRDefault="007B6177" w:rsidP="006825D3">
      <w:pPr>
        <w:bidi/>
        <w:ind w:left="3406" w:right="1985"/>
        <w:jc w:val="both"/>
        <w:rPr>
          <w:rFonts w:ascii="David" w:hAnsi="David" w:cs="David"/>
          <w:rtl/>
          <w:lang w:bidi="he-IL"/>
        </w:rPr>
      </w:pPr>
      <w:r w:rsidRPr="00A53B8E">
        <w:rPr>
          <w:rFonts w:ascii="David" w:hAnsi="David" w:cs="David" w:hint="cs"/>
          <w:rtl/>
          <w:lang w:bidi="he-IL"/>
        </w:rPr>
        <w:t>שרי רוט</w:t>
      </w:r>
    </w:p>
    <w:p w14:paraId="19951851" w14:textId="4FC61426" w:rsidR="007B6177" w:rsidRPr="00A53B8E" w:rsidRDefault="007B6177" w:rsidP="006969A4">
      <w:pPr>
        <w:bidi/>
        <w:spacing w:line="360" w:lineRule="auto"/>
        <w:jc w:val="both"/>
        <w:rPr>
          <w:rFonts w:ascii="David" w:hAnsi="David" w:cs="David"/>
          <w:rtl/>
          <w:lang w:bidi="he-IL"/>
        </w:rPr>
      </w:pPr>
    </w:p>
    <w:p w14:paraId="7CFFDB8E" w14:textId="7E96CA0C" w:rsidR="007B6177" w:rsidRPr="00A53B8E" w:rsidRDefault="007B6177" w:rsidP="006969A4">
      <w:pPr>
        <w:bidi/>
        <w:spacing w:line="360" w:lineRule="auto"/>
        <w:jc w:val="both"/>
        <w:rPr>
          <w:rFonts w:ascii="David" w:hAnsi="David" w:cs="David"/>
          <w:rtl/>
          <w:lang w:bidi="he-IL"/>
        </w:rPr>
      </w:pPr>
    </w:p>
    <w:p w14:paraId="79D22B1D" w14:textId="0E4021CA" w:rsidR="007B6177" w:rsidRPr="00A53B8E" w:rsidRDefault="006969A4" w:rsidP="006969A4">
      <w:pPr>
        <w:bidi/>
        <w:spacing w:line="360" w:lineRule="auto"/>
        <w:jc w:val="both"/>
        <w:rPr>
          <w:rFonts w:ascii="David" w:hAnsi="David" w:cs="David"/>
          <w:rtl/>
          <w:lang w:bidi="he-IL"/>
        </w:rPr>
      </w:pPr>
      <w:r w:rsidRPr="00A53B8E">
        <w:rPr>
          <w:rFonts w:ascii="David" w:hAnsi="David" w:cs="David" w:hint="cs"/>
          <w:b/>
          <w:bCs/>
          <w:rtl/>
          <w:lang w:bidi="he-IL"/>
        </w:rPr>
        <w:t>בעניין שבין:</w:t>
      </w:r>
      <w:r w:rsidRPr="00A53B8E">
        <w:rPr>
          <w:rFonts w:ascii="David" w:hAnsi="David" w:cs="David" w:hint="cs"/>
          <w:rtl/>
          <w:lang w:bidi="he-IL"/>
        </w:rPr>
        <w:t xml:space="preserve"> </w:t>
      </w:r>
      <w:r w:rsidRPr="00A53B8E">
        <w:rPr>
          <w:rFonts w:ascii="David" w:hAnsi="David" w:cs="David"/>
          <w:rtl/>
          <w:lang w:bidi="he-IL"/>
        </w:rPr>
        <w:tab/>
      </w:r>
      <w:r w:rsidRPr="00A53B8E">
        <w:rPr>
          <w:rFonts w:ascii="David" w:hAnsi="David" w:cs="David"/>
          <w:rtl/>
          <w:lang w:bidi="he-IL"/>
        </w:rPr>
        <w:tab/>
      </w:r>
      <w:r w:rsidRPr="00A53B8E">
        <w:rPr>
          <w:rFonts w:ascii="David" w:hAnsi="David" w:cs="David" w:hint="cs"/>
          <w:rtl/>
          <w:lang w:bidi="he-IL"/>
        </w:rPr>
        <w:t xml:space="preserve">עמותת הצלחה </w:t>
      </w:r>
      <w:r w:rsidRPr="00A53B8E">
        <w:rPr>
          <w:rFonts w:ascii="David" w:hAnsi="David" w:cs="David"/>
          <w:rtl/>
          <w:lang w:bidi="he-IL"/>
        </w:rPr>
        <w:t>–</w:t>
      </w:r>
      <w:r w:rsidRPr="00A53B8E">
        <w:rPr>
          <w:rFonts w:ascii="David" w:hAnsi="David" w:cs="David" w:hint="cs"/>
          <w:rtl/>
          <w:lang w:bidi="he-IL"/>
        </w:rPr>
        <w:t xml:space="preserve"> התנועה הצרכנית לקידום חברה כלכלית הוגנת</w:t>
      </w:r>
    </w:p>
    <w:p w14:paraId="3D1534E5" w14:textId="26D2749F" w:rsidR="006969A4" w:rsidRPr="00A53B8E" w:rsidRDefault="006969A4" w:rsidP="006969A4">
      <w:pPr>
        <w:bidi/>
        <w:spacing w:line="360" w:lineRule="auto"/>
        <w:ind w:left="1440" w:firstLine="720"/>
        <w:jc w:val="both"/>
        <w:rPr>
          <w:rFonts w:ascii="David" w:hAnsi="David" w:cs="David"/>
          <w:rtl/>
          <w:lang w:bidi="he-IL"/>
        </w:rPr>
      </w:pPr>
      <w:r w:rsidRPr="00A53B8E">
        <w:rPr>
          <w:rFonts w:ascii="David" w:hAnsi="David" w:cs="David" w:hint="cs"/>
          <w:rtl/>
          <w:lang w:bidi="he-IL"/>
        </w:rPr>
        <w:t>באמצעות בא-כוחה עו״ד אלעד מן</w:t>
      </w:r>
    </w:p>
    <w:p w14:paraId="1B996F1D" w14:textId="68487ACF" w:rsidR="006969A4" w:rsidRPr="00A53B8E" w:rsidRDefault="006969A4" w:rsidP="006969A4">
      <w:pPr>
        <w:bidi/>
        <w:spacing w:line="360" w:lineRule="auto"/>
        <w:jc w:val="both"/>
        <w:rPr>
          <w:rFonts w:ascii="David" w:hAnsi="David" w:cs="David"/>
          <w:rtl/>
          <w:lang w:bidi="he-IL"/>
        </w:rPr>
      </w:pPr>
    </w:p>
    <w:p w14:paraId="3F9C37C8" w14:textId="2A9EEF31" w:rsidR="006969A4" w:rsidRPr="00A53B8E" w:rsidRDefault="006969A4" w:rsidP="006969A4">
      <w:pPr>
        <w:bidi/>
        <w:spacing w:line="360" w:lineRule="auto"/>
        <w:ind w:left="5760" w:firstLine="720"/>
        <w:jc w:val="both"/>
        <w:rPr>
          <w:rFonts w:ascii="David" w:hAnsi="David" w:cs="David"/>
          <w:b/>
          <w:bCs/>
          <w:u w:val="single"/>
          <w:rtl/>
          <w:lang w:bidi="he-IL"/>
        </w:rPr>
      </w:pPr>
      <w:r w:rsidRPr="00A53B8E">
        <w:rPr>
          <w:rFonts w:ascii="David" w:hAnsi="David" w:cs="David" w:hint="cs"/>
          <w:b/>
          <w:bCs/>
          <w:u w:val="single"/>
          <w:rtl/>
          <w:lang w:bidi="he-IL"/>
        </w:rPr>
        <w:t>המתלוננת/המערערת</w:t>
      </w:r>
    </w:p>
    <w:p w14:paraId="18611621" w14:textId="5F9ABD50" w:rsidR="006969A4" w:rsidRPr="00A53B8E" w:rsidRDefault="006969A4" w:rsidP="006969A4">
      <w:pPr>
        <w:bidi/>
        <w:spacing w:line="360" w:lineRule="auto"/>
        <w:jc w:val="both"/>
        <w:rPr>
          <w:rFonts w:ascii="David" w:hAnsi="David" w:cs="David"/>
          <w:rtl/>
          <w:lang w:bidi="he-IL"/>
        </w:rPr>
      </w:pPr>
    </w:p>
    <w:p w14:paraId="4E5D9149" w14:textId="769B7495" w:rsidR="006969A4" w:rsidRPr="00A53B8E" w:rsidRDefault="006969A4" w:rsidP="006969A4">
      <w:pPr>
        <w:bidi/>
        <w:spacing w:line="360" w:lineRule="auto"/>
        <w:jc w:val="both"/>
        <w:rPr>
          <w:rFonts w:ascii="David" w:hAnsi="David" w:cs="David"/>
          <w:rtl/>
          <w:lang w:bidi="he-IL"/>
        </w:rPr>
      </w:pPr>
    </w:p>
    <w:p w14:paraId="44D47AE1" w14:textId="7ABD85C2" w:rsidR="006969A4" w:rsidRPr="00A53B8E" w:rsidRDefault="006969A4" w:rsidP="006969A4">
      <w:pPr>
        <w:bidi/>
        <w:spacing w:line="360" w:lineRule="auto"/>
        <w:jc w:val="both"/>
        <w:rPr>
          <w:rFonts w:ascii="David" w:hAnsi="David" w:cs="David"/>
          <w:rtl/>
          <w:lang w:bidi="he-IL"/>
        </w:rPr>
      </w:pPr>
      <w:r w:rsidRPr="00A53B8E">
        <w:rPr>
          <w:rFonts w:ascii="David" w:hAnsi="David" w:cs="David" w:hint="cs"/>
          <w:b/>
          <w:bCs/>
          <w:rtl/>
          <w:lang w:bidi="he-IL"/>
        </w:rPr>
        <w:t>לבין:</w:t>
      </w:r>
      <w:r w:rsidRPr="00A53B8E">
        <w:rPr>
          <w:rFonts w:ascii="David" w:hAnsi="David" w:cs="David"/>
          <w:rtl/>
          <w:lang w:bidi="he-IL"/>
        </w:rPr>
        <w:tab/>
      </w:r>
      <w:r w:rsidRPr="00A53B8E">
        <w:rPr>
          <w:rFonts w:ascii="David" w:hAnsi="David" w:cs="David"/>
          <w:rtl/>
          <w:lang w:bidi="he-IL"/>
        </w:rPr>
        <w:tab/>
      </w:r>
      <w:r w:rsidRPr="00A53B8E">
        <w:rPr>
          <w:rFonts w:ascii="David" w:hAnsi="David" w:cs="David"/>
          <w:rtl/>
          <w:lang w:bidi="he-IL"/>
        </w:rPr>
        <w:tab/>
      </w:r>
      <w:r w:rsidRPr="00A53B8E">
        <w:rPr>
          <w:rFonts w:ascii="David" w:hAnsi="David" w:cs="David" w:hint="cs"/>
          <w:rtl/>
          <w:lang w:bidi="he-IL"/>
        </w:rPr>
        <w:t>1. ידיעות אחרונות</w:t>
      </w:r>
    </w:p>
    <w:p w14:paraId="53C164BA" w14:textId="6FEAF6E6" w:rsidR="006969A4" w:rsidRPr="00A53B8E" w:rsidRDefault="006969A4" w:rsidP="006969A4">
      <w:pPr>
        <w:bidi/>
        <w:spacing w:line="360" w:lineRule="auto"/>
        <w:jc w:val="both"/>
        <w:rPr>
          <w:rFonts w:ascii="David" w:hAnsi="David" w:cs="David"/>
          <w:rtl/>
          <w:lang w:bidi="he-IL"/>
        </w:rPr>
      </w:pPr>
      <w:r w:rsidRPr="00A53B8E">
        <w:rPr>
          <w:rFonts w:ascii="David" w:hAnsi="David" w:cs="David"/>
          <w:rtl/>
          <w:lang w:bidi="he-IL"/>
        </w:rPr>
        <w:tab/>
      </w:r>
      <w:r w:rsidRPr="00A53B8E">
        <w:rPr>
          <w:rFonts w:ascii="David" w:hAnsi="David" w:cs="David"/>
          <w:rtl/>
          <w:lang w:bidi="he-IL"/>
        </w:rPr>
        <w:tab/>
      </w:r>
      <w:r w:rsidRPr="00A53B8E">
        <w:rPr>
          <w:rFonts w:ascii="David" w:hAnsi="David" w:cs="David"/>
          <w:rtl/>
          <w:lang w:bidi="he-IL"/>
        </w:rPr>
        <w:tab/>
      </w:r>
      <w:r w:rsidRPr="00A53B8E">
        <w:rPr>
          <w:rFonts w:ascii="David" w:hAnsi="David" w:cs="David" w:hint="cs"/>
          <w:rtl/>
          <w:lang w:bidi="he-IL"/>
        </w:rPr>
        <w:t>2. ארנון (נוני) מוזס</w:t>
      </w:r>
    </w:p>
    <w:p w14:paraId="17803E5F" w14:textId="2DE5819A" w:rsidR="006969A4" w:rsidRPr="00A53B8E" w:rsidRDefault="006969A4" w:rsidP="006969A4">
      <w:pPr>
        <w:bidi/>
        <w:spacing w:line="360" w:lineRule="auto"/>
        <w:jc w:val="both"/>
        <w:rPr>
          <w:rFonts w:ascii="David" w:hAnsi="David" w:cs="David"/>
          <w:rtl/>
          <w:lang w:bidi="he-IL"/>
        </w:rPr>
      </w:pPr>
    </w:p>
    <w:p w14:paraId="58A9C889" w14:textId="0F031CED" w:rsidR="006969A4" w:rsidRPr="00A53B8E" w:rsidRDefault="006969A4" w:rsidP="006969A4">
      <w:pPr>
        <w:bidi/>
        <w:spacing w:line="360" w:lineRule="auto"/>
        <w:ind w:left="5760" w:firstLine="720"/>
        <w:jc w:val="both"/>
        <w:rPr>
          <w:rFonts w:ascii="David" w:hAnsi="David" w:cs="David"/>
          <w:b/>
          <w:bCs/>
          <w:u w:val="single"/>
          <w:rtl/>
          <w:lang w:bidi="he-IL"/>
        </w:rPr>
      </w:pPr>
      <w:r w:rsidRPr="00A53B8E">
        <w:rPr>
          <w:rFonts w:ascii="David" w:hAnsi="David" w:cs="David" w:hint="cs"/>
          <w:b/>
          <w:bCs/>
          <w:rtl/>
          <w:lang w:bidi="he-IL"/>
        </w:rPr>
        <w:t xml:space="preserve">       </w:t>
      </w:r>
      <w:r w:rsidRPr="00A53B8E">
        <w:rPr>
          <w:rFonts w:ascii="David" w:hAnsi="David" w:cs="David" w:hint="cs"/>
          <w:b/>
          <w:bCs/>
          <w:u w:val="single"/>
          <w:rtl/>
          <w:lang w:bidi="he-IL"/>
        </w:rPr>
        <w:t>המשיבים</w:t>
      </w:r>
    </w:p>
    <w:p w14:paraId="14122828" w14:textId="179B3E0E" w:rsidR="006969A4" w:rsidRPr="00A53B8E" w:rsidRDefault="006969A4" w:rsidP="006969A4">
      <w:pPr>
        <w:bidi/>
        <w:spacing w:line="360" w:lineRule="auto"/>
        <w:jc w:val="both"/>
        <w:rPr>
          <w:rFonts w:ascii="David" w:hAnsi="David" w:cs="David"/>
          <w:b/>
          <w:bCs/>
          <w:u w:val="single"/>
          <w:rtl/>
          <w:lang w:bidi="he-IL"/>
        </w:rPr>
      </w:pPr>
    </w:p>
    <w:p w14:paraId="39A8696A" w14:textId="0CE0E88B" w:rsidR="006969A4" w:rsidRPr="00A53B8E" w:rsidRDefault="006969A4" w:rsidP="006969A4">
      <w:pPr>
        <w:bidi/>
        <w:spacing w:line="360" w:lineRule="auto"/>
        <w:jc w:val="both"/>
        <w:rPr>
          <w:rFonts w:ascii="David" w:hAnsi="David" w:cs="David"/>
          <w:b/>
          <w:bCs/>
          <w:u w:val="single"/>
          <w:rtl/>
          <w:lang w:bidi="he-IL"/>
        </w:rPr>
      </w:pPr>
    </w:p>
    <w:p w14:paraId="2B45D897" w14:textId="7959BA23" w:rsidR="006969A4" w:rsidRPr="00A53B8E" w:rsidRDefault="006969A4" w:rsidP="006969A4">
      <w:pPr>
        <w:bidi/>
        <w:spacing w:line="360" w:lineRule="auto"/>
        <w:jc w:val="center"/>
        <w:rPr>
          <w:rFonts w:ascii="David" w:hAnsi="David" w:cs="David"/>
          <w:b/>
          <w:bCs/>
          <w:sz w:val="32"/>
          <w:szCs w:val="32"/>
          <w:u w:val="single"/>
          <w:rtl/>
          <w:lang w:bidi="he-IL"/>
        </w:rPr>
      </w:pPr>
      <w:r w:rsidRPr="00A53B8E">
        <w:rPr>
          <w:rFonts w:ascii="David" w:hAnsi="David" w:cs="David" w:hint="cs"/>
          <w:b/>
          <w:bCs/>
          <w:sz w:val="32"/>
          <w:szCs w:val="32"/>
          <w:u w:val="single"/>
          <w:rtl/>
          <w:lang w:bidi="he-IL"/>
        </w:rPr>
        <w:t>פסק-דין</w:t>
      </w:r>
    </w:p>
    <w:p w14:paraId="4097AFAA" w14:textId="77777777" w:rsidR="006969A4" w:rsidRPr="00A53B8E" w:rsidRDefault="006969A4" w:rsidP="006969A4">
      <w:pPr>
        <w:bidi/>
        <w:spacing w:line="360" w:lineRule="auto"/>
        <w:jc w:val="both"/>
        <w:rPr>
          <w:rFonts w:ascii="David" w:hAnsi="David" w:cs="David"/>
          <w:rtl/>
          <w:lang w:bidi="he-IL"/>
        </w:rPr>
      </w:pPr>
    </w:p>
    <w:p w14:paraId="0246D6D7" w14:textId="284D4EB7" w:rsidR="006969A4" w:rsidRPr="00A53B8E" w:rsidRDefault="006969A4" w:rsidP="006969A4">
      <w:pPr>
        <w:bidi/>
        <w:spacing w:line="360" w:lineRule="auto"/>
        <w:jc w:val="both"/>
        <w:rPr>
          <w:rFonts w:ascii="David" w:hAnsi="David" w:cs="David"/>
          <w:b/>
          <w:bCs/>
          <w:sz w:val="28"/>
          <w:szCs w:val="28"/>
          <w:u w:val="single"/>
          <w:rtl/>
          <w:lang w:bidi="he-IL"/>
        </w:rPr>
      </w:pPr>
      <w:r w:rsidRPr="00A53B8E">
        <w:rPr>
          <w:rFonts w:ascii="David" w:hAnsi="David" w:cs="David" w:hint="cs"/>
          <w:b/>
          <w:bCs/>
          <w:sz w:val="28"/>
          <w:szCs w:val="28"/>
          <w:u w:val="single"/>
          <w:rtl/>
          <w:lang w:bidi="he-IL"/>
        </w:rPr>
        <w:t>פרופ׳ מוחמד ותד (יו״ר)</w:t>
      </w:r>
    </w:p>
    <w:p w14:paraId="38D17967" w14:textId="572B43BA" w:rsidR="004D721B" w:rsidRPr="00A53B8E" w:rsidRDefault="004D721B" w:rsidP="004D721B">
      <w:pPr>
        <w:bidi/>
        <w:spacing w:line="360" w:lineRule="auto"/>
        <w:jc w:val="both"/>
        <w:rPr>
          <w:rFonts w:ascii="David" w:hAnsi="David" w:cs="David"/>
          <w:b/>
          <w:bCs/>
          <w:u w:val="single"/>
          <w:rtl/>
          <w:lang w:bidi="he-IL"/>
        </w:rPr>
      </w:pPr>
    </w:p>
    <w:p w14:paraId="3EE2D932" w14:textId="2B88090D" w:rsidR="006969A4" w:rsidRPr="00A53B8E" w:rsidRDefault="004D721B" w:rsidP="004D721B">
      <w:pPr>
        <w:bidi/>
        <w:spacing w:line="360" w:lineRule="auto"/>
        <w:jc w:val="both"/>
        <w:rPr>
          <w:rFonts w:ascii="David" w:hAnsi="David" w:cs="David"/>
          <w:b/>
          <w:bCs/>
          <w:u w:val="single"/>
          <w:rtl/>
          <w:lang w:bidi="he-IL"/>
        </w:rPr>
      </w:pPr>
      <w:r w:rsidRPr="00A53B8E">
        <w:rPr>
          <w:rFonts w:ascii="David" w:hAnsi="David" w:cs="David" w:hint="cs"/>
          <w:b/>
          <w:bCs/>
          <w:u w:val="single"/>
          <w:rtl/>
          <w:lang w:bidi="he-IL"/>
        </w:rPr>
        <w:t>פתח דבר</w:t>
      </w:r>
    </w:p>
    <w:p w14:paraId="1412BAA5" w14:textId="43E7BC75" w:rsidR="001177BC" w:rsidRPr="00A53B8E" w:rsidRDefault="001177BC" w:rsidP="001177BC">
      <w:pPr>
        <w:pStyle w:val="a3"/>
        <w:numPr>
          <w:ilvl w:val="0"/>
          <w:numId w:val="1"/>
        </w:numPr>
        <w:bidi/>
        <w:spacing w:line="360" w:lineRule="auto"/>
        <w:jc w:val="both"/>
        <w:rPr>
          <w:rFonts w:ascii="David" w:hAnsi="David" w:cs="David"/>
          <w:lang w:bidi="he-IL"/>
        </w:rPr>
      </w:pPr>
      <w:r w:rsidRPr="00A53B8E">
        <w:rPr>
          <w:rFonts w:ascii="David" w:hAnsi="David" w:cs="David" w:hint="cs"/>
          <w:rtl/>
          <w:lang w:bidi="he-IL"/>
        </w:rPr>
        <w:t xml:space="preserve">האם מוסמך בית-הדין לאתיקה של מועצת העיתונות והתקשורת בישראל (להלן: </w:t>
      </w:r>
      <w:r w:rsidRPr="00A53B8E">
        <w:rPr>
          <w:rFonts w:ascii="David" w:hAnsi="David" w:cs="David" w:hint="cs"/>
          <w:b/>
          <w:bCs/>
          <w:rtl/>
          <w:lang w:bidi="he-IL"/>
        </w:rPr>
        <w:t>בית-הדין</w:t>
      </w:r>
      <w:r w:rsidRPr="00A53B8E">
        <w:rPr>
          <w:rFonts w:ascii="David" w:hAnsi="David" w:cs="David" w:hint="cs"/>
          <w:rtl/>
          <w:lang w:bidi="he-IL"/>
        </w:rPr>
        <w:t>) ל</w:t>
      </w:r>
      <w:r w:rsidR="004D721B" w:rsidRPr="00A53B8E">
        <w:rPr>
          <w:rFonts w:ascii="David" w:hAnsi="David" w:cs="David" w:hint="cs"/>
          <w:rtl/>
          <w:lang w:bidi="he-IL"/>
        </w:rPr>
        <w:t>הורות לעיתו</w:t>
      </w:r>
      <w:r w:rsidR="00F5560F" w:rsidRPr="00A53B8E">
        <w:rPr>
          <w:rFonts w:ascii="David" w:hAnsi="David" w:cs="David" w:hint="cs"/>
          <w:rtl/>
          <w:lang w:bidi="he-IL"/>
        </w:rPr>
        <w:t>ן</w:t>
      </w:r>
      <w:r w:rsidR="004D721B" w:rsidRPr="00A53B8E">
        <w:rPr>
          <w:rFonts w:ascii="David" w:hAnsi="David" w:cs="David" w:hint="cs"/>
          <w:rtl/>
          <w:lang w:bidi="he-IL"/>
        </w:rPr>
        <w:t xml:space="preserve"> ל</w:t>
      </w:r>
      <w:r w:rsidRPr="00A53B8E">
        <w:rPr>
          <w:rFonts w:ascii="David" w:hAnsi="David" w:cs="David" w:hint="cs"/>
          <w:rtl/>
          <w:lang w:bidi="he-IL"/>
        </w:rPr>
        <w:t>השעות עיתונאי מעבודתו, אם הוגש נגד</w:t>
      </w:r>
      <w:r w:rsidR="004D721B" w:rsidRPr="00A53B8E">
        <w:rPr>
          <w:rFonts w:ascii="David" w:hAnsi="David" w:cs="David" w:hint="cs"/>
          <w:rtl/>
          <w:lang w:bidi="he-IL"/>
        </w:rPr>
        <w:t xml:space="preserve"> העיתונאי</w:t>
      </w:r>
      <w:r w:rsidRPr="00A53B8E">
        <w:rPr>
          <w:rFonts w:ascii="David" w:hAnsi="David" w:cs="David" w:hint="cs"/>
          <w:rtl/>
          <w:lang w:bidi="he-IL"/>
        </w:rPr>
        <w:t xml:space="preserve"> כתב אישום המבסס קלון למקצוע העיתונ</w:t>
      </w:r>
      <w:r w:rsidR="00C3105F">
        <w:rPr>
          <w:rFonts w:ascii="David" w:hAnsi="David" w:cs="David" w:hint="cs"/>
          <w:rtl/>
          <w:lang w:bidi="he-IL"/>
        </w:rPr>
        <w:t>א</w:t>
      </w:r>
      <w:r w:rsidRPr="00A53B8E">
        <w:rPr>
          <w:rFonts w:ascii="David" w:hAnsi="David" w:cs="David" w:hint="cs"/>
          <w:rtl/>
          <w:lang w:bidi="he-IL"/>
        </w:rPr>
        <w:t xml:space="preserve">ות? זוהי השאלה העקרונית המונחת בפנינו להכרעה.  </w:t>
      </w:r>
    </w:p>
    <w:p w14:paraId="7943E4C5" w14:textId="049A0791" w:rsidR="004D721B" w:rsidRPr="00A53B8E" w:rsidRDefault="001177BC" w:rsidP="000A4F26">
      <w:pPr>
        <w:pStyle w:val="a3"/>
        <w:numPr>
          <w:ilvl w:val="0"/>
          <w:numId w:val="1"/>
        </w:numPr>
        <w:bidi/>
        <w:spacing w:line="360" w:lineRule="auto"/>
        <w:jc w:val="both"/>
        <w:rPr>
          <w:rFonts w:ascii="David" w:hAnsi="David" w:cs="David"/>
          <w:rtl/>
          <w:lang w:bidi="he-IL"/>
        </w:rPr>
      </w:pPr>
      <w:r w:rsidRPr="00A53B8E">
        <w:rPr>
          <w:rFonts w:ascii="David" w:hAnsi="David" w:cs="David" w:hint="cs"/>
          <w:rtl/>
          <w:lang w:bidi="he-IL"/>
        </w:rPr>
        <w:t>בעניין זה</w:t>
      </w:r>
      <w:r w:rsidR="00F5560F" w:rsidRPr="00A53B8E">
        <w:rPr>
          <w:rFonts w:ascii="David" w:hAnsi="David" w:cs="David" w:hint="cs"/>
          <w:rtl/>
          <w:lang w:bidi="he-IL"/>
        </w:rPr>
        <w:t xml:space="preserve"> קבע</w:t>
      </w:r>
      <w:r w:rsidRPr="00A53B8E">
        <w:rPr>
          <w:rFonts w:ascii="David" w:hAnsi="David" w:cs="David" w:hint="cs"/>
          <w:rtl/>
          <w:lang w:bidi="he-IL"/>
        </w:rPr>
        <w:t xml:space="preserve"> בית-הדין</w:t>
      </w:r>
      <w:r w:rsidR="00F5560F" w:rsidRPr="00A53B8E">
        <w:rPr>
          <w:rFonts w:ascii="David" w:hAnsi="David" w:cs="David" w:hint="cs"/>
          <w:rtl/>
          <w:lang w:bidi="he-IL"/>
        </w:rPr>
        <w:t>,</w:t>
      </w:r>
      <w:r w:rsidRPr="00A53B8E">
        <w:rPr>
          <w:rFonts w:ascii="David" w:hAnsi="David" w:cs="David" w:hint="cs"/>
          <w:rtl/>
          <w:lang w:bidi="he-IL"/>
        </w:rPr>
        <w:t xml:space="preserve"> בשבתו כערכאה דיונית בתיק </w:t>
      </w:r>
      <w:r w:rsidR="000A4F26">
        <w:rPr>
          <w:rFonts w:ascii="David" w:hAnsi="David" w:cs="David" w:hint="cs"/>
          <w:rtl/>
          <w:lang w:bidi="he-IL"/>
        </w:rPr>
        <w:t>הנדון</w:t>
      </w:r>
      <w:r w:rsidRPr="00A53B8E">
        <w:rPr>
          <w:rFonts w:ascii="David" w:hAnsi="David" w:cs="David" w:hint="cs"/>
          <w:rtl/>
          <w:lang w:bidi="he-IL"/>
        </w:rPr>
        <w:t xml:space="preserve">, כי סמכות זו </w:t>
      </w:r>
      <w:r w:rsidR="000A3764" w:rsidRPr="00A53B8E">
        <w:rPr>
          <w:rFonts w:ascii="David" w:hAnsi="David" w:cs="David" w:hint="cs"/>
          <w:rtl/>
          <w:lang w:bidi="he-IL"/>
        </w:rPr>
        <w:t>אכן ניתנה לבית-הדין בגדר סעיף 25</w:t>
      </w:r>
      <w:r w:rsidR="004D721B" w:rsidRPr="00A53B8E">
        <w:rPr>
          <w:rFonts w:ascii="David" w:hAnsi="David" w:cs="David" w:hint="cs"/>
          <w:rtl/>
          <w:lang w:bidi="he-IL"/>
        </w:rPr>
        <w:t>(א)</w:t>
      </w:r>
      <w:r w:rsidR="000A3764" w:rsidRPr="00A53B8E">
        <w:rPr>
          <w:rFonts w:ascii="David" w:hAnsi="David" w:cs="David" w:hint="cs"/>
          <w:rtl/>
          <w:lang w:bidi="he-IL"/>
        </w:rPr>
        <w:t xml:space="preserve"> לתקנון האתיקה של מועצת העיתונות והתקשורת בישראל (להלן: </w:t>
      </w:r>
      <w:r w:rsidR="00AD55E1" w:rsidRPr="00A53B8E">
        <w:rPr>
          <w:rFonts w:ascii="David" w:hAnsi="David" w:cs="David" w:hint="cs"/>
          <w:b/>
          <w:bCs/>
          <w:rtl/>
          <w:lang w:bidi="he-IL"/>
        </w:rPr>
        <w:t>ה</w:t>
      </w:r>
      <w:r w:rsidR="000A3764" w:rsidRPr="00A53B8E">
        <w:rPr>
          <w:rFonts w:ascii="David" w:hAnsi="David" w:cs="David" w:hint="cs"/>
          <w:b/>
          <w:bCs/>
          <w:rtl/>
          <w:lang w:bidi="he-IL"/>
        </w:rPr>
        <w:t>תקנון</w:t>
      </w:r>
      <w:r w:rsidR="000A3764" w:rsidRPr="00A53B8E">
        <w:rPr>
          <w:rFonts w:ascii="David" w:hAnsi="David" w:cs="David" w:hint="cs"/>
          <w:rtl/>
          <w:lang w:bidi="he-IL"/>
        </w:rPr>
        <w:t>)</w:t>
      </w:r>
      <w:r w:rsidR="004D721B" w:rsidRPr="00A53B8E">
        <w:rPr>
          <w:rFonts w:ascii="David" w:hAnsi="David" w:cs="David" w:hint="cs"/>
          <w:rtl/>
          <w:lang w:bidi="he-IL"/>
        </w:rPr>
        <w:t>, לפיו:</w:t>
      </w:r>
    </w:p>
    <w:p w14:paraId="7D441F05" w14:textId="2E1954E9" w:rsidR="004D721B" w:rsidRPr="00A53B8E" w:rsidRDefault="004D721B" w:rsidP="000A4F26">
      <w:pPr>
        <w:pStyle w:val="a3"/>
        <w:tabs>
          <w:tab w:val="left" w:pos="9360"/>
        </w:tabs>
        <w:bidi/>
        <w:ind w:left="2272" w:right="1701"/>
        <w:jc w:val="both"/>
        <w:rPr>
          <w:rFonts w:ascii="David" w:hAnsi="David" w:cs="David"/>
          <w:rtl/>
          <w:lang w:bidi="he-IL"/>
        </w:rPr>
      </w:pPr>
      <w:r w:rsidRPr="00A53B8E">
        <w:rPr>
          <w:rFonts w:ascii="David" w:hAnsi="David" w:cs="David" w:hint="cs"/>
          <w:rtl/>
          <w:lang w:bidi="he-IL"/>
        </w:rPr>
        <w:t>עיתונאי שהוגש נגדו ע״י המדינה כתב אישום בשל עבירה פלילי</w:t>
      </w:r>
      <w:r w:rsidR="00F5560F" w:rsidRPr="00A53B8E">
        <w:rPr>
          <w:rFonts w:ascii="David" w:hAnsi="David" w:cs="David" w:hint="cs"/>
          <w:rtl/>
          <w:lang w:bidi="he-IL"/>
        </w:rPr>
        <w:t>ת</w:t>
      </w:r>
      <w:r w:rsidRPr="00A53B8E">
        <w:rPr>
          <w:rFonts w:ascii="David" w:hAnsi="David" w:cs="David" w:hint="cs"/>
          <w:rtl/>
          <w:lang w:bidi="he-IL"/>
        </w:rPr>
        <w:t xml:space="preserve">, ידון בעניינו בית הדין לאתיקה של מועצת העיתונות ויקבע אם יש בעבירה המיוחסת לו קלון למקצוע העיתונאות. </w:t>
      </w:r>
      <w:r w:rsidRPr="00A53B8E">
        <w:rPr>
          <w:rFonts w:ascii="David" w:hAnsi="David" w:cs="David" w:hint="cs"/>
          <w:rtl/>
          <w:lang w:bidi="he-IL"/>
        </w:rPr>
        <w:lastRenderedPageBreak/>
        <w:t>קבע בית הדין לאתיקה שבאותה עבירה יש קלון למקצוע העיתונאות, יהיה רשאי לחייב את העיתון להשעות את העיתונאי מעבודתו העיתונאית במידה הראויה, כפי שיקבע בית הדין לאתיקה על פי העבירה ועל פי מכלול הנסיבות, וזאת עד להכרעת הדין הסופית.</w:t>
      </w:r>
    </w:p>
    <w:p w14:paraId="4EDB2C4E" w14:textId="7C239CD2" w:rsidR="004D721B" w:rsidRPr="00A53B8E" w:rsidRDefault="000A3764" w:rsidP="004D721B">
      <w:pPr>
        <w:pStyle w:val="a3"/>
        <w:bidi/>
        <w:spacing w:line="360" w:lineRule="auto"/>
        <w:jc w:val="both"/>
        <w:rPr>
          <w:rFonts w:ascii="David" w:hAnsi="David" w:cs="David"/>
          <w:lang w:bidi="he-IL"/>
        </w:rPr>
      </w:pPr>
      <w:r w:rsidRPr="00A53B8E">
        <w:rPr>
          <w:rFonts w:ascii="David" w:hAnsi="David" w:cs="David" w:hint="cs"/>
          <w:rtl/>
          <w:lang w:bidi="he-IL"/>
        </w:rPr>
        <w:t xml:space="preserve"> </w:t>
      </w:r>
    </w:p>
    <w:p w14:paraId="6892EC77" w14:textId="59357223" w:rsidR="001177BC" w:rsidRPr="00A53B8E" w:rsidRDefault="000A3764" w:rsidP="004D721B">
      <w:pPr>
        <w:pStyle w:val="a3"/>
        <w:bidi/>
        <w:spacing w:line="360" w:lineRule="auto"/>
        <w:jc w:val="both"/>
        <w:rPr>
          <w:rFonts w:ascii="David" w:hAnsi="David" w:cs="David"/>
          <w:rtl/>
          <w:lang w:bidi="he-IL"/>
        </w:rPr>
      </w:pPr>
      <w:r w:rsidRPr="00A53B8E">
        <w:rPr>
          <w:rFonts w:ascii="David" w:hAnsi="David" w:cs="David" w:hint="cs"/>
          <w:rtl/>
          <w:lang w:bidi="he-IL"/>
        </w:rPr>
        <w:t>ברם, בית-הדין הוסיף וקבע</w:t>
      </w:r>
      <w:r w:rsidR="004D721B" w:rsidRPr="00A53B8E">
        <w:rPr>
          <w:rFonts w:ascii="David" w:hAnsi="David" w:cs="David" w:hint="cs"/>
          <w:rtl/>
          <w:lang w:bidi="he-IL"/>
        </w:rPr>
        <w:t>,</w:t>
      </w:r>
      <w:r w:rsidRPr="00A53B8E">
        <w:rPr>
          <w:rFonts w:ascii="David" w:hAnsi="David" w:cs="David" w:hint="cs"/>
          <w:rtl/>
          <w:lang w:bidi="he-IL"/>
        </w:rPr>
        <w:t xml:space="preserve"> כי במסגרת התיקון לתקנון, כפי שפורסם </w:t>
      </w:r>
      <w:r w:rsidR="004D721B" w:rsidRPr="00A53B8E">
        <w:rPr>
          <w:rFonts w:ascii="David" w:hAnsi="David" w:cs="David" w:hint="cs"/>
          <w:rtl/>
          <w:lang w:bidi="he-IL"/>
        </w:rPr>
        <w:t xml:space="preserve">בחודש </w:t>
      </w:r>
      <w:r w:rsidRPr="00A53B8E">
        <w:rPr>
          <w:rFonts w:ascii="David" w:hAnsi="David" w:cs="David" w:hint="cs"/>
          <w:rtl/>
          <w:lang w:bidi="he-IL"/>
        </w:rPr>
        <w:t>ספטמבר 2020, בוטל סעיף 25 האמור</w:t>
      </w:r>
      <w:r w:rsidR="00500EA0" w:rsidRPr="00A53B8E">
        <w:rPr>
          <w:rFonts w:ascii="David" w:hAnsi="David" w:cs="David" w:hint="cs"/>
          <w:rtl/>
          <w:lang w:bidi="he-IL"/>
        </w:rPr>
        <w:t>,</w:t>
      </w:r>
      <w:r w:rsidRPr="00A53B8E">
        <w:rPr>
          <w:rFonts w:ascii="David" w:hAnsi="David" w:cs="David" w:hint="cs"/>
          <w:rtl/>
          <w:lang w:bidi="he-IL"/>
        </w:rPr>
        <w:t xml:space="preserve"> ובהתאם </w:t>
      </w:r>
      <w:r w:rsidR="00500EA0" w:rsidRPr="00A53B8E">
        <w:rPr>
          <w:rFonts w:ascii="David" w:hAnsi="David" w:cs="David" w:hint="cs"/>
          <w:rtl/>
          <w:lang w:bidi="he-IL"/>
        </w:rPr>
        <w:t xml:space="preserve">גם </w:t>
      </w:r>
      <w:r w:rsidRPr="00A53B8E">
        <w:rPr>
          <w:rFonts w:ascii="David" w:hAnsi="David" w:cs="David" w:hint="cs"/>
          <w:rtl/>
          <w:lang w:bidi="he-IL"/>
        </w:rPr>
        <w:t xml:space="preserve">בוטלה סמכותו של בית-הדין </w:t>
      </w:r>
      <w:r w:rsidR="004D721B" w:rsidRPr="00A53B8E">
        <w:rPr>
          <w:rFonts w:ascii="David" w:hAnsi="David" w:cs="David" w:hint="cs"/>
          <w:rtl/>
          <w:lang w:bidi="he-IL"/>
        </w:rPr>
        <w:t>בהקשר זה</w:t>
      </w:r>
      <w:r w:rsidRPr="00A53B8E">
        <w:rPr>
          <w:rFonts w:ascii="David" w:hAnsi="David" w:cs="David" w:hint="cs"/>
          <w:rtl/>
          <w:lang w:bidi="he-IL"/>
        </w:rPr>
        <w:t>.</w:t>
      </w:r>
    </w:p>
    <w:p w14:paraId="6E5BE7BA" w14:textId="56D5A9BB" w:rsidR="004D721B" w:rsidRPr="00A53B8E" w:rsidRDefault="004D721B" w:rsidP="004D721B">
      <w:pPr>
        <w:pStyle w:val="a3"/>
        <w:bidi/>
        <w:spacing w:line="360" w:lineRule="auto"/>
        <w:jc w:val="both"/>
        <w:rPr>
          <w:rFonts w:ascii="David" w:hAnsi="David" w:cs="David"/>
          <w:rtl/>
          <w:lang w:bidi="he-IL"/>
        </w:rPr>
      </w:pPr>
    </w:p>
    <w:p w14:paraId="0C8D32A4" w14:textId="07A8BC96" w:rsidR="004D721B" w:rsidRPr="00A53B8E" w:rsidRDefault="004D721B" w:rsidP="004D721B">
      <w:pPr>
        <w:bidi/>
        <w:spacing w:line="360" w:lineRule="auto"/>
        <w:jc w:val="both"/>
        <w:rPr>
          <w:rFonts w:ascii="David" w:hAnsi="David" w:cs="David"/>
          <w:b/>
          <w:bCs/>
          <w:u w:val="single"/>
          <w:rtl/>
          <w:lang w:bidi="he-IL"/>
        </w:rPr>
      </w:pPr>
      <w:r w:rsidRPr="00A53B8E">
        <w:rPr>
          <w:rFonts w:ascii="David" w:hAnsi="David" w:cs="David" w:hint="cs"/>
          <w:b/>
          <w:bCs/>
          <w:u w:val="single"/>
          <w:rtl/>
          <w:lang w:bidi="he-IL"/>
        </w:rPr>
        <w:t>הרקע</w:t>
      </w:r>
      <w:r w:rsidR="003232EB" w:rsidRPr="00A53B8E">
        <w:rPr>
          <w:rFonts w:ascii="David" w:hAnsi="David" w:cs="David" w:hint="cs"/>
          <w:b/>
          <w:bCs/>
          <w:u w:val="single"/>
          <w:rtl/>
          <w:lang w:bidi="he-IL"/>
        </w:rPr>
        <w:t xml:space="preserve"> </w:t>
      </w:r>
      <w:r w:rsidR="00704570" w:rsidRPr="00A53B8E">
        <w:rPr>
          <w:rFonts w:ascii="David" w:hAnsi="David" w:cs="David" w:hint="cs"/>
          <w:b/>
          <w:bCs/>
          <w:u w:val="single"/>
          <w:rtl/>
          <w:lang w:bidi="he-IL"/>
        </w:rPr>
        <w:t>ל</w:t>
      </w:r>
      <w:r w:rsidR="003232EB" w:rsidRPr="00A53B8E">
        <w:rPr>
          <w:rFonts w:ascii="David" w:hAnsi="David" w:cs="David" w:hint="cs"/>
          <w:b/>
          <w:bCs/>
          <w:u w:val="single"/>
          <w:rtl/>
          <w:lang w:bidi="he-IL"/>
        </w:rPr>
        <w:t>דיון</w:t>
      </w:r>
      <w:r w:rsidR="0089410D" w:rsidRPr="00A53B8E">
        <w:rPr>
          <w:rFonts w:ascii="David" w:hAnsi="David" w:cs="David" w:hint="cs"/>
          <w:b/>
          <w:bCs/>
          <w:u w:val="single"/>
          <w:rtl/>
          <w:lang w:bidi="he-IL"/>
        </w:rPr>
        <w:t xml:space="preserve"> והחלטת בית-הדין</w:t>
      </w:r>
    </w:p>
    <w:p w14:paraId="30622E4A" w14:textId="7475729D" w:rsidR="0089410D" w:rsidRPr="00A53B8E" w:rsidRDefault="00B106AC" w:rsidP="000A4F26">
      <w:pPr>
        <w:pStyle w:val="a3"/>
        <w:numPr>
          <w:ilvl w:val="0"/>
          <w:numId w:val="1"/>
        </w:numPr>
        <w:bidi/>
        <w:spacing w:line="360" w:lineRule="auto"/>
        <w:jc w:val="both"/>
        <w:rPr>
          <w:rFonts w:ascii="David" w:hAnsi="David" w:cs="David"/>
          <w:rtl/>
          <w:lang w:bidi="he-IL"/>
        </w:rPr>
      </w:pPr>
      <w:r w:rsidRPr="00A53B8E">
        <w:rPr>
          <w:rFonts w:ascii="David" w:hAnsi="David" w:cs="David" w:hint="cs"/>
          <w:rtl/>
          <w:lang w:bidi="he-IL"/>
        </w:rPr>
        <w:t>יסודו של ערעור זה בתלונה</w:t>
      </w:r>
      <w:r w:rsidR="00704570" w:rsidRPr="00A53B8E">
        <w:rPr>
          <w:rFonts w:ascii="David" w:hAnsi="David" w:cs="David" w:hint="cs"/>
          <w:rtl/>
          <w:lang w:bidi="he-IL"/>
        </w:rPr>
        <w:t xml:space="preserve"> של המערערת, </w:t>
      </w:r>
      <w:r w:rsidRPr="00A53B8E">
        <w:rPr>
          <w:rFonts w:ascii="David" w:hAnsi="David" w:cs="David" w:hint="cs"/>
          <w:rtl/>
          <w:lang w:bidi="he-IL"/>
        </w:rPr>
        <w:t>מיום 22</w:t>
      </w:r>
      <w:r w:rsidR="000A4F26">
        <w:rPr>
          <w:rFonts w:ascii="David" w:hAnsi="David" w:cs="David" w:hint="cs"/>
          <w:rtl/>
          <w:lang w:bidi="he-IL"/>
        </w:rPr>
        <w:t>.</w:t>
      </w:r>
      <w:r w:rsidRPr="00A53B8E">
        <w:rPr>
          <w:rFonts w:ascii="David" w:hAnsi="David" w:cs="David" w:hint="cs"/>
          <w:rtl/>
          <w:lang w:bidi="he-IL"/>
        </w:rPr>
        <w:t>11</w:t>
      </w:r>
      <w:r w:rsidR="000A4F26">
        <w:rPr>
          <w:rFonts w:ascii="David" w:hAnsi="David" w:cs="David" w:hint="cs"/>
          <w:rtl/>
          <w:lang w:bidi="he-IL"/>
        </w:rPr>
        <w:t>.</w:t>
      </w:r>
      <w:r w:rsidRPr="00A53B8E">
        <w:rPr>
          <w:rFonts w:ascii="David" w:hAnsi="David" w:cs="David" w:hint="cs"/>
          <w:rtl/>
          <w:lang w:bidi="he-IL"/>
        </w:rPr>
        <w:t>2019</w:t>
      </w:r>
      <w:r w:rsidR="00704570" w:rsidRPr="00A53B8E">
        <w:rPr>
          <w:rFonts w:ascii="David" w:hAnsi="David" w:cs="David" w:hint="cs"/>
          <w:rtl/>
          <w:lang w:bidi="he-IL"/>
        </w:rPr>
        <w:t>,</w:t>
      </w:r>
      <w:r w:rsidRPr="00A53B8E">
        <w:rPr>
          <w:rFonts w:ascii="David" w:hAnsi="David" w:cs="David" w:hint="cs"/>
          <w:rtl/>
          <w:lang w:bidi="he-IL"/>
        </w:rPr>
        <w:t xml:space="preserve"> נגד המשיבים, בגדרה ביקשה</w:t>
      </w:r>
      <w:r w:rsidR="000A4F26">
        <w:rPr>
          <w:rFonts w:ascii="David" w:hAnsi="David" w:cs="David" w:hint="cs"/>
          <w:rtl/>
          <w:lang w:bidi="he-IL"/>
        </w:rPr>
        <w:t>,</w:t>
      </w:r>
      <w:r w:rsidRPr="00A53B8E">
        <w:rPr>
          <w:rFonts w:ascii="David" w:hAnsi="David" w:cs="David" w:hint="cs"/>
          <w:rtl/>
          <w:lang w:bidi="he-IL"/>
        </w:rPr>
        <w:t xml:space="preserve"> </w:t>
      </w:r>
      <w:r w:rsidR="0089410D" w:rsidRPr="00A53B8E">
        <w:rPr>
          <w:rFonts w:ascii="David" w:hAnsi="David" w:cs="David" w:hint="cs"/>
          <w:rtl/>
          <w:lang w:bidi="he-IL"/>
        </w:rPr>
        <w:t>בעיקר,</w:t>
      </w:r>
      <w:r w:rsidR="00704570" w:rsidRPr="00A53B8E">
        <w:rPr>
          <w:rFonts w:ascii="David" w:hAnsi="David" w:cs="David" w:hint="cs"/>
          <w:rtl/>
          <w:lang w:bidi="he-IL"/>
        </w:rPr>
        <w:t xml:space="preserve"> </w:t>
      </w:r>
      <w:r w:rsidRPr="00A53B8E">
        <w:rPr>
          <w:rFonts w:ascii="David" w:hAnsi="David" w:cs="David" w:hint="cs"/>
          <w:rtl/>
          <w:lang w:bidi="he-IL"/>
        </w:rPr>
        <w:t xml:space="preserve">כי בית-הדין יפעל לפי סמכותו המעוגנת בסעיף 25(א) לתקנון, </w:t>
      </w:r>
      <w:r w:rsidR="000A4F26">
        <w:rPr>
          <w:rFonts w:ascii="David" w:hAnsi="David" w:cs="David" w:hint="cs"/>
          <w:rtl/>
          <w:lang w:bidi="he-IL"/>
        </w:rPr>
        <w:t>ד</w:t>
      </w:r>
      <w:r w:rsidRPr="00A53B8E">
        <w:rPr>
          <w:rFonts w:ascii="David" w:hAnsi="David" w:cs="David" w:hint="cs"/>
          <w:rtl/>
          <w:lang w:bidi="he-IL"/>
        </w:rPr>
        <w:t xml:space="preserve">היינו- להורות למשיבה 1 להשעות את המשיב 2 </w:t>
      </w:r>
      <w:r w:rsidR="00704570" w:rsidRPr="00A53B8E">
        <w:rPr>
          <w:rFonts w:ascii="David" w:hAnsi="David" w:cs="David" w:hint="cs"/>
          <w:rtl/>
          <w:lang w:bidi="he-IL"/>
        </w:rPr>
        <w:t xml:space="preserve">(להלן: </w:t>
      </w:r>
      <w:r w:rsidR="00704570" w:rsidRPr="00A53B8E">
        <w:rPr>
          <w:rFonts w:ascii="David" w:hAnsi="David" w:cs="David" w:hint="cs"/>
          <w:b/>
          <w:bCs/>
          <w:rtl/>
          <w:lang w:bidi="he-IL"/>
        </w:rPr>
        <w:t>מוזס</w:t>
      </w:r>
      <w:r w:rsidR="00704570" w:rsidRPr="00A53B8E">
        <w:rPr>
          <w:rFonts w:ascii="David" w:hAnsi="David" w:cs="David" w:hint="cs"/>
          <w:rtl/>
          <w:lang w:bidi="he-IL"/>
        </w:rPr>
        <w:t xml:space="preserve">) </w:t>
      </w:r>
      <w:r w:rsidRPr="00A53B8E">
        <w:rPr>
          <w:rFonts w:ascii="David" w:hAnsi="David" w:cs="David" w:hint="cs"/>
          <w:rtl/>
          <w:lang w:bidi="he-IL"/>
        </w:rPr>
        <w:t xml:space="preserve">מעבודתו העיתונאית. זאת, על רקע החלטת היועץ המשפטי לממשלה להגיש </w:t>
      </w:r>
      <w:r w:rsidR="007614EE" w:rsidRPr="00A53B8E">
        <w:rPr>
          <w:rFonts w:ascii="David" w:hAnsi="David" w:cs="David" w:hint="cs"/>
          <w:rtl/>
          <w:lang w:bidi="he-IL"/>
        </w:rPr>
        <w:t xml:space="preserve">כתב אישום </w:t>
      </w:r>
      <w:r w:rsidRPr="00A53B8E">
        <w:rPr>
          <w:rFonts w:ascii="David" w:hAnsi="David" w:cs="David"/>
          <w:rtl/>
          <w:lang w:bidi="he-IL"/>
        </w:rPr>
        <w:t>–</w:t>
      </w:r>
      <w:r w:rsidRPr="00A53B8E">
        <w:rPr>
          <w:rFonts w:ascii="David" w:hAnsi="David" w:cs="David" w:hint="cs"/>
          <w:rtl/>
          <w:lang w:bidi="he-IL"/>
        </w:rPr>
        <w:t xml:space="preserve"> בפרשה הידועה כ</w:t>
      </w:r>
      <w:r w:rsidR="000A4F26">
        <w:rPr>
          <w:rFonts w:ascii="David" w:hAnsi="David" w:cs="David" w:hint="cs"/>
          <w:rtl/>
          <w:lang w:bidi="he-IL"/>
        </w:rPr>
        <w:t>"</w:t>
      </w:r>
      <w:r w:rsidRPr="00A53B8E">
        <w:rPr>
          <w:rFonts w:ascii="David" w:hAnsi="David" w:cs="David" w:hint="cs"/>
          <w:rtl/>
          <w:lang w:bidi="he-IL"/>
        </w:rPr>
        <w:t xml:space="preserve">תיק 2000״ </w:t>
      </w:r>
      <w:r w:rsidRPr="00A53B8E">
        <w:rPr>
          <w:rFonts w:ascii="David" w:hAnsi="David" w:cs="David"/>
          <w:rtl/>
          <w:lang w:bidi="he-IL"/>
        </w:rPr>
        <w:t>–</w:t>
      </w:r>
      <w:r w:rsidRPr="00A53B8E">
        <w:rPr>
          <w:rFonts w:ascii="David" w:hAnsi="David" w:cs="David" w:hint="cs"/>
          <w:rtl/>
          <w:lang w:bidi="he-IL"/>
        </w:rPr>
        <w:t xml:space="preserve"> </w:t>
      </w:r>
      <w:r w:rsidR="007614EE" w:rsidRPr="00A53B8E">
        <w:rPr>
          <w:rFonts w:ascii="David" w:hAnsi="David" w:cs="David" w:hint="cs"/>
          <w:rtl/>
          <w:lang w:bidi="he-IL"/>
        </w:rPr>
        <w:t xml:space="preserve">נגד </w:t>
      </w:r>
      <w:r w:rsidR="00B07CE3" w:rsidRPr="00A53B8E">
        <w:rPr>
          <w:rFonts w:ascii="David" w:hAnsi="David" w:cs="David" w:hint="cs"/>
          <w:rtl/>
          <w:lang w:bidi="he-IL"/>
        </w:rPr>
        <w:t>מוזס ו</w:t>
      </w:r>
      <w:r w:rsidR="000A4F26">
        <w:rPr>
          <w:rFonts w:ascii="David" w:hAnsi="David" w:cs="David" w:hint="cs"/>
          <w:rtl/>
          <w:lang w:bidi="he-IL"/>
        </w:rPr>
        <w:t xml:space="preserve">נגד </w:t>
      </w:r>
      <w:r w:rsidR="007614EE" w:rsidRPr="00A53B8E">
        <w:rPr>
          <w:rFonts w:ascii="David" w:hAnsi="David" w:cs="David" w:hint="cs"/>
          <w:rtl/>
          <w:lang w:bidi="he-IL"/>
        </w:rPr>
        <w:t>ראש ממשלת ישראל</w:t>
      </w:r>
      <w:r w:rsidR="00704570" w:rsidRPr="00A53B8E">
        <w:rPr>
          <w:rFonts w:ascii="David" w:hAnsi="David" w:cs="David" w:hint="cs"/>
          <w:rtl/>
          <w:lang w:bidi="he-IL"/>
        </w:rPr>
        <w:t>,</w:t>
      </w:r>
      <w:r w:rsidR="007614EE" w:rsidRPr="00A53B8E">
        <w:rPr>
          <w:rFonts w:ascii="David" w:hAnsi="David" w:cs="David" w:hint="cs"/>
          <w:rtl/>
          <w:lang w:bidi="he-IL"/>
        </w:rPr>
        <w:t xml:space="preserve"> בנימין נתניהו</w:t>
      </w:r>
      <w:r w:rsidR="00704570" w:rsidRPr="00A53B8E">
        <w:rPr>
          <w:rFonts w:ascii="David" w:hAnsi="David" w:cs="David" w:hint="cs"/>
          <w:rtl/>
          <w:lang w:bidi="he-IL"/>
        </w:rPr>
        <w:t>,</w:t>
      </w:r>
      <w:r w:rsidR="007614EE" w:rsidRPr="00A53B8E">
        <w:rPr>
          <w:rFonts w:ascii="David" w:hAnsi="David" w:cs="David" w:hint="cs"/>
          <w:rtl/>
          <w:lang w:bidi="he-IL"/>
        </w:rPr>
        <w:t xml:space="preserve"> </w:t>
      </w:r>
      <w:r w:rsidR="00FD596E" w:rsidRPr="00A53B8E">
        <w:rPr>
          <w:rFonts w:ascii="David" w:hAnsi="David" w:cs="David" w:hint="cs"/>
          <w:rtl/>
          <w:lang w:bidi="he-IL"/>
        </w:rPr>
        <w:t>בגד</w:t>
      </w:r>
      <w:r w:rsidR="00B07CE3" w:rsidRPr="00A53B8E">
        <w:rPr>
          <w:rFonts w:ascii="David" w:hAnsi="David" w:cs="David" w:hint="cs"/>
          <w:rtl/>
          <w:lang w:bidi="he-IL"/>
        </w:rPr>
        <w:t>ר</w:t>
      </w:r>
      <w:r w:rsidR="00FD596E" w:rsidRPr="00A53B8E">
        <w:rPr>
          <w:rFonts w:ascii="David" w:hAnsi="David" w:cs="David" w:hint="cs"/>
          <w:rtl/>
          <w:lang w:bidi="he-IL"/>
        </w:rPr>
        <w:t>ו יוחסה למוזס עבירה של הצעת שוחד ל</w:t>
      </w:r>
      <w:r w:rsidR="00B07CE3" w:rsidRPr="00A53B8E">
        <w:rPr>
          <w:rFonts w:ascii="David" w:hAnsi="David" w:cs="David" w:hint="cs"/>
          <w:rtl/>
          <w:lang w:bidi="he-IL"/>
        </w:rPr>
        <w:t xml:space="preserve">בנימין </w:t>
      </w:r>
      <w:r w:rsidR="00FD596E" w:rsidRPr="00A53B8E">
        <w:rPr>
          <w:rFonts w:ascii="David" w:hAnsi="David" w:cs="David" w:hint="cs"/>
          <w:rtl/>
          <w:lang w:bidi="he-IL"/>
        </w:rPr>
        <w:t xml:space="preserve">נתניהו, ואילו </w:t>
      </w:r>
      <w:r w:rsidR="000A4F26" w:rsidRPr="00A53B8E">
        <w:rPr>
          <w:rFonts w:ascii="David" w:hAnsi="David" w:cs="David" w:hint="cs"/>
          <w:rtl/>
          <w:lang w:bidi="he-IL"/>
        </w:rPr>
        <w:t>ל</w:t>
      </w:r>
      <w:r w:rsidR="000A4F26">
        <w:rPr>
          <w:rFonts w:ascii="David" w:hAnsi="David" w:cs="David" w:hint="cs"/>
          <w:rtl/>
          <w:lang w:bidi="he-IL"/>
        </w:rPr>
        <w:t>אחרון</w:t>
      </w:r>
      <w:r w:rsidR="000A4F26" w:rsidRPr="00A53B8E">
        <w:rPr>
          <w:rFonts w:ascii="David" w:hAnsi="David" w:cs="David" w:hint="cs"/>
          <w:rtl/>
          <w:lang w:bidi="he-IL"/>
        </w:rPr>
        <w:t xml:space="preserve"> </w:t>
      </w:r>
      <w:r w:rsidR="00FD596E" w:rsidRPr="00A53B8E">
        <w:rPr>
          <w:rFonts w:ascii="David" w:hAnsi="David" w:cs="David" w:hint="cs"/>
          <w:rtl/>
          <w:lang w:bidi="he-IL"/>
        </w:rPr>
        <w:t>יוחסה עבירה של מעשה הפרת אמונים</w:t>
      </w:r>
      <w:r w:rsidR="0089410D" w:rsidRPr="00A53B8E">
        <w:rPr>
          <w:rFonts w:ascii="David" w:hAnsi="David" w:cs="David" w:hint="cs"/>
          <w:rtl/>
          <w:lang w:bidi="he-IL"/>
        </w:rPr>
        <w:t>.</w:t>
      </w:r>
    </w:p>
    <w:p w14:paraId="785F42A0" w14:textId="138C2C17" w:rsidR="00AD55E1" w:rsidRPr="00A53B8E" w:rsidRDefault="00AD55E1" w:rsidP="000A4F26">
      <w:pPr>
        <w:pStyle w:val="a3"/>
        <w:numPr>
          <w:ilvl w:val="0"/>
          <w:numId w:val="1"/>
        </w:numPr>
        <w:bidi/>
        <w:spacing w:line="360" w:lineRule="auto"/>
        <w:jc w:val="both"/>
        <w:rPr>
          <w:rFonts w:ascii="David" w:hAnsi="David" w:cs="David"/>
          <w:lang w:bidi="he-IL"/>
        </w:rPr>
      </w:pPr>
      <w:r w:rsidRPr="00A53B8E">
        <w:rPr>
          <w:rFonts w:ascii="David" w:hAnsi="David" w:cs="David" w:hint="cs"/>
          <w:rtl/>
          <w:lang w:bidi="he-IL"/>
        </w:rPr>
        <w:t>לדיון בפני בית-הדין בחרו המשיבים שלא להתייצב</w:t>
      </w:r>
      <w:r w:rsidR="000A4F26">
        <w:rPr>
          <w:rFonts w:ascii="David" w:hAnsi="David" w:cs="David" w:hint="cs"/>
          <w:rtl/>
          <w:lang w:bidi="he-IL"/>
        </w:rPr>
        <w:t>,</w:t>
      </w:r>
      <w:r w:rsidRPr="00A53B8E">
        <w:rPr>
          <w:rFonts w:ascii="David" w:hAnsi="David" w:cs="David" w:hint="cs"/>
          <w:rtl/>
          <w:lang w:bidi="he-IL"/>
        </w:rPr>
        <w:t xml:space="preserve"> ואף לא להתייחס לתלונה כל עיקר, לא בעצמם ולא באמצעות ייצוג משפטי </w:t>
      </w:r>
      <w:r w:rsidR="0089410D" w:rsidRPr="00A53B8E">
        <w:rPr>
          <w:rFonts w:ascii="David" w:hAnsi="David" w:cs="David" w:hint="cs"/>
          <w:rtl/>
          <w:lang w:bidi="he-IL"/>
        </w:rPr>
        <w:t>כלשהו</w:t>
      </w:r>
      <w:r w:rsidRPr="00A53B8E">
        <w:rPr>
          <w:rFonts w:ascii="David" w:hAnsi="David" w:cs="David" w:hint="cs"/>
          <w:rtl/>
          <w:lang w:bidi="he-IL"/>
        </w:rPr>
        <w:t>. זאת, הגם שנשלחו אל</w:t>
      </w:r>
      <w:r w:rsidR="0089410D" w:rsidRPr="00A53B8E">
        <w:rPr>
          <w:rFonts w:ascii="David" w:hAnsi="David" w:cs="David" w:hint="cs"/>
          <w:rtl/>
          <w:lang w:bidi="he-IL"/>
        </w:rPr>
        <w:t>יהם</w:t>
      </w:r>
      <w:r w:rsidRPr="00A53B8E">
        <w:rPr>
          <w:rFonts w:ascii="David" w:hAnsi="David" w:cs="David" w:hint="cs"/>
          <w:rtl/>
          <w:lang w:bidi="he-IL"/>
        </w:rPr>
        <w:t xml:space="preserve"> זימונים כדין, וכן חרף העובדה כי העתק התלונה נשלח אליהם פע</w:t>
      </w:r>
      <w:r w:rsidR="004F4FE4" w:rsidRPr="00A53B8E">
        <w:rPr>
          <w:rFonts w:ascii="David" w:hAnsi="David" w:cs="David" w:hint="cs"/>
          <w:rtl/>
          <w:lang w:bidi="he-IL"/>
        </w:rPr>
        <w:t>מ</w:t>
      </w:r>
      <w:r w:rsidRPr="00A53B8E">
        <w:rPr>
          <w:rFonts w:ascii="David" w:hAnsi="David" w:cs="David" w:hint="cs"/>
          <w:rtl/>
          <w:lang w:bidi="he-IL"/>
        </w:rPr>
        <w:t>יים</w:t>
      </w:r>
      <w:r w:rsidR="004F4FE4" w:rsidRPr="00A53B8E">
        <w:rPr>
          <w:rFonts w:ascii="David" w:hAnsi="David" w:cs="David" w:hint="cs"/>
          <w:rtl/>
          <w:lang w:bidi="he-IL"/>
        </w:rPr>
        <w:t xml:space="preserve"> (</w:t>
      </w:r>
      <w:r w:rsidR="004F4FE4" w:rsidRPr="00A53B8E">
        <w:rPr>
          <w:rFonts w:ascii="David" w:hAnsi="David" w:cs="David" w:hint="cs"/>
          <w:b/>
          <w:bCs/>
          <w:rtl/>
          <w:lang w:bidi="he-IL"/>
        </w:rPr>
        <w:t>ראו:</w:t>
      </w:r>
      <w:r w:rsidR="004F4FE4" w:rsidRPr="00A53B8E">
        <w:rPr>
          <w:rFonts w:ascii="David" w:hAnsi="David" w:cs="David" w:hint="cs"/>
          <w:rtl/>
          <w:lang w:bidi="he-IL"/>
        </w:rPr>
        <w:t xml:space="preserve"> סעיף 11 ל</w:t>
      </w:r>
      <w:r w:rsidR="007F38CD" w:rsidRPr="00A53B8E">
        <w:rPr>
          <w:rFonts w:ascii="David" w:hAnsi="David" w:cs="David" w:hint="cs"/>
          <w:rtl/>
          <w:lang w:bidi="he-IL"/>
        </w:rPr>
        <w:t>החלטת בית-הדין</w:t>
      </w:r>
      <w:r w:rsidR="004F4FE4" w:rsidRPr="00A53B8E">
        <w:rPr>
          <w:rFonts w:ascii="David" w:hAnsi="David" w:cs="David" w:hint="cs"/>
          <w:rtl/>
          <w:lang w:bidi="he-IL"/>
        </w:rPr>
        <w:t>).</w:t>
      </w:r>
    </w:p>
    <w:p w14:paraId="5042AB33" w14:textId="2C35BF0E" w:rsidR="000B387A" w:rsidRPr="00A53B8E" w:rsidRDefault="00AD55E1" w:rsidP="00B70F67">
      <w:pPr>
        <w:pStyle w:val="a3"/>
        <w:numPr>
          <w:ilvl w:val="0"/>
          <w:numId w:val="1"/>
        </w:numPr>
        <w:bidi/>
        <w:spacing w:line="360" w:lineRule="auto"/>
        <w:jc w:val="both"/>
        <w:rPr>
          <w:rFonts w:ascii="David" w:hAnsi="David" w:cs="David"/>
          <w:lang w:bidi="he-IL"/>
        </w:rPr>
      </w:pPr>
      <w:r w:rsidRPr="00A53B8E">
        <w:rPr>
          <w:rFonts w:ascii="David" w:hAnsi="David" w:cs="David" w:hint="cs"/>
          <w:rtl/>
          <w:lang w:bidi="he-IL"/>
        </w:rPr>
        <w:t>בדונו בתלונה</w:t>
      </w:r>
      <w:r w:rsidR="000B387A" w:rsidRPr="00A53B8E">
        <w:rPr>
          <w:rFonts w:ascii="David" w:hAnsi="David" w:cs="David" w:hint="cs"/>
          <w:rtl/>
          <w:lang w:bidi="he-IL"/>
        </w:rPr>
        <w:t xml:space="preserve"> גופא</w:t>
      </w:r>
      <w:r w:rsidRPr="00A53B8E">
        <w:rPr>
          <w:rFonts w:ascii="David" w:hAnsi="David" w:cs="David" w:hint="cs"/>
          <w:rtl/>
          <w:lang w:bidi="he-IL"/>
        </w:rPr>
        <w:t xml:space="preserve">, בית-הדין קבע, בדעת רוב (עוה״ד חנוך קינן,  השופט (בדימוס) אשר </w:t>
      </w:r>
      <w:proofErr w:type="spellStart"/>
      <w:r w:rsidRPr="00A53B8E">
        <w:rPr>
          <w:rFonts w:ascii="David" w:hAnsi="David" w:cs="David" w:hint="cs"/>
          <w:rtl/>
          <w:lang w:bidi="he-IL"/>
        </w:rPr>
        <w:t>גולדין</w:t>
      </w:r>
      <w:proofErr w:type="spellEnd"/>
      <w:r w:rsidRPr="00A53B8E">
        <w:rPr>
          <w:rFonts w:ascii="David" w:hAnsi="David" w:cs="David" w:hint="cs"/>
          <w:rtl/>
          <w:lang w:bidi="he-IL"/>
        </w:rPr>
        <w:t>, ו</w:t>
      </w:r>
      <w:r w:rsidR="007F38CD" w:rsidRPr="00A53B8E">
        <w:rPr>
          <w:rFonts w:ascii="David" w:hAnsi="David" w:cs="David" w:hint="cs"/>
          <w:rtl/>
          <w:lang w:bidi="he-IL"/>
        </w:rPr>
        <w:t>הגב׳ עליזה ז׳זק</w:t>
      </w:r>
      <w:r w:rsidRPr="00A53B8E">
        <w:rPr>
          <w:rFonts w:ascii="David" w:hAnsi="David" w:cs="David" w:hint="cs"/>
          <w:rtl/>
          <w:lang w:bidi="he-IL"/>
        </w:rPr>
        <w:t xml:space="preserve">), כי </w:t>
      </w:r>
      <w:r w:rsidR="007F38CD" w:rsidRPr="00A53B8E">
        <w:rPr>
          <w:rFonts w:ascii="David" w:hAnsi="David" w:cs="David" w:hint="cs"/>
          <w:rtl/>
          <w:lang w:bidi="he-IL"/>
        </w:rPr>
        <w:t>המעשים הפליליים</w:t>
      </w:r>
      <w:r w:rsidR="00085192" w:rsidRPr="00A53B8E">
        <w:rPr>
          <w:rFonts w:ascii="David" w:hAnsi="David" w:cs="David" w:hint="cs"/>
          <w:rtl/>
          <w:lang w:bidi="he-IL"/>
        </w:rPr>
        <w:t xml:space="preserve"> המיוחס</w:t>
      </w:r>
      <w:r w:rsidR="007F38CD" w:rsidRPr="00A53B8E">
        <w:rPr>
          <w:rFonts w:ascii="David" w:hAnsi="David" w:cs="David" w:hint="cs"/>
          <w:rtl/>
          <w:lang w:bidi="he-IL"/>
        </w:rPr>
        <w:t>ים</w:t>
      </w:r>
      <w:r w:rsidR="00085192" w:rsidRPr="00A53B8E">
        <w:rPr>
          <w:rFonts w:ascii="David" w:hAnsi="David" w:cs="David" w:hint="cs"/>
          <w:rtl/>
          <w:lang w:bidi="he-IL"/>
        </w:rPr>
        <w:t xml:space="preserve"> </w:t>
      </w:r>
      <w:r w:rsidR="007F38CD" w:rsidRPr="00A53B8E">
        <w:rPr>
          <w:rFonts w:ascii="David" w:hAnsi="David" w:cs="David" w:hint="cs"/>
          <w:rtl/>
          <w:lang w:bidi="he-IL"/>
        </w:rPr>
        <w:t>למוזס,</w:t>
      </w:r>
      <w:r w:rsidR="0089410D" w:rsidRPr="00A53B8E">
        <w:rPr>
          <w:rFonts w:ascii="David" w:hAnsi="David" w:cs="David" w:hint="cs"/>
          <w:rtl/>
          <w:lang w:bidi="he-IL"/>
        </w:rPr>
        <w:t xml:space="preserve"> אשר עיקרם ב</w:t>
      </w:r>
      <w:r w:rsidR="002A3ACA">
        <w:rPr>
          <w:rFonts w:ascii="David" w:hAnsi="David" w:cs="David" w:hint="cs"/>
          <w:rtl/>
          <w:lang w:bidi="he-IL"/>
        </w:rPr>
        <w:t>ה</w:t>
      </w:r>
      <w:r w:rsidR="0089410D" w:rsidRPr="00A53B8E">
        <w:rPr>
          <w:rFonts w:ascii="David" w:hAnsi="David" w:cs="David" w:hint="cs"/>
          <w:rtl/>
          <w:lang w:bidi="he-IL"/>
        </w:rPr>
        <w:t xml:space="preserve">צעת שוחד </w:t>
      </w:r>
      <w:r w:rsidR="00F27238" w:rsidRPr="00A53B8E">
        <w:rPr>
          <w:rFonts w:ascii="David" w:hAnsi="David" w:cs="David" w:hint="cs"/>
          <w:rtl/>
          <w:lang w:bidi="he-IL"/>
        </w:rPr>
        <w:t>הבא לידי ביטוי בסיקור עיתונאי מוטה,</w:t>
      </w:r>
      <w:r w:rsidR="007F38CD" w:rsidRPr="00A53B8E">
        <w:rPr>
          <w:rFonts w:ascii="David" w:hAnsi="David" w:cs="David" w:hint="cs"/>
          <w:rtl/>
          <w:lang w:bidi="he-IL"/>
        </w:rPr>
        <w:t xml:space="preserve"> </w:t>
      </w:r>
      <w:r w:rsidR="00F27238" w:rsidRPr="00A53B8E">
        <w:rPr>
          <w:rFonts w:ascii="David" w:hAnsi="David" w:cs="David" w:hint="cs"/>
          <w:rtl/>
          <w:lang w:bidi="he-IL"/>
        </w:rPr>
        <w:t>מבססים קלון למקצוע העיתונ</w:t>
      </w:r>
      <w:r w:rsidR="00C3105F">
        <w:rPr>
          <w:rFonts w:ascii="David" w:hAnsi="David" w:cs="David" w:hint="cs"/>
          <w:rtl/>
          <w:lang w:bidi="he-IL"/>
        </w:rPr>
        <w:t>א</w:t>
      </w:r>
      <w:r w:rsidR="00F27238" w:rsidRPr="00A53B8E">
        <w:rPr>
          <w:rFonts w:ascii="David" w:hAnsi="David" w:cs="David" w:hint="cs"/>
          <w:rtl/>
          <w:lang w:bidi="he-IL"/>
        </w:rPr>
        <w:t xml:space="preserve">ות, באשר </w:t>
      </w:r>
      <w:r w:rsidR="000B387A" w:rsidRPr="00A53B8E">
        <w:rPr>
          <w:rFonts w:ascii="David" w:hAnsi="David" w:cs="David" w:hint="cs"/>
          <w:rtl/>
          <w:lang w:bidi="he-IL"/>
        </w:rPr>
        <w:t>״מצביעים, לכאורה, על קיום ״אותה חומרה מוסרית, הנקשרת לעבירה</w:t>
      </w:r>
      <w:r w:rsidR="00F27238" w:rsidRPr="00A53B8E">
        <w:rPr>
          <w:rFonts w:ascii="David" w:hAnsi="David" w:cs="David" w:hint="cs"/>
          <w:rtl/>
          <w:lang w:bidi="he-IL"/>
        </w:rPr>
        <w:t>...״</w:t>
      </w:r>
      <w:r w:rsidR="000B387A" w:rsidRPr="00A53B8E">
        <w:rPr>
          <w:rFonts w:ascii="David" w:hAnsi="David" w:cs="David" w:hint="cs"/>
          <w:rtl/>
          <w:lang w:bidi="he-IL"/>
        </w:rPr>
        <w:t xml:space="preserve"> (</w:t>
      </w:r>
      <w:r w:rsidR="000B387A" w:rsidRPr="00A53B8E">
        <w:rPr>
          <w:rFonts w:ascii="David" w:hAnsi="David" w:cs="David" w:hint="cs"/>
          <w:b/>
          <w:bCs/>
          <w:rtl/>
          <w:lang w:bidi="he-IL"/>
        </w:rPr>
        <w:t>ראו:</w:t>
      </w:r>
      <w:r w:rsidR="000B387A" w:rsidRPr="00A53B8E">
        <w:rPr>
          <w:rFonts w:ascii="David" w:hAnsi="David" w:cs="David" w:hint="cs"/>
          <w:rtl/>
          <w:lang w:bidi="he-IL"/>
        </w:rPr>
        <w:t xml:space="preserve"> סעיף 36 להחלטת בית-הדין).</w:t>
      </w:r>
      <w:r w:rsidR="00F27238" w:rsidRPr="00A53B8E">
        <w:rPr>
          <w:rFonts w:ascii="David" w:hAnsi="David" w:cs="David" w:hint="cs"/>
          <w:rtl/>
          <w:lang w:bidi="he-IL"/>
        </w:rPr>
        <w:t xml:space="preserve"> זאת, במיוחד לאור מעמדו הבכיר של מוזס, כעורך ראשי של המשיבה 1, אשר ה</w:t>
      </w:r>
      <w:r w:rsidR="00143765" w:rsidRPr="00A53B8E">
        <w:rPr>
          <w:rFonts w:ascii="David" w:hAnsi="David" w:cs="David" w:hint="cs"/>
          <w:rtl/>
          <w:lang w:bidi="he-IL"/>
        </w:rPr>
        <w:t>שתמש לרעה בכוחו ובמעמדו תוך פגיעה בעבודה העיתונאית.</w:t>
      </w:r>
      <w:r w:rsidR="00B70F67" w:rsidRPr="00A53B8E">
        <w:rPr>
          <w:rFonts w:ascii="David" w:hAnsi="David" w:cs="David" w:hint="cs"/>
          <w:rtl/>
          <w:lang w:bidi="he-IL"/>
        </w:rPr>
        <w:t xml:space="preserve"> בהינתן זאת, ובמסגרת שיקול הדעת המוענק לבית-הדין לפי סעיף 25(א) לתקנון, בית-הדין הורה </w:t>
      </w:r>
      <w:r w:rsidR="006D2DB9" w:rsidRPr="00A53B8E">
        <w:rPr>
          <w:rFonts w:ascii="David" w:hAnsi="David" w:cs="David" w:hint="cs"/>
          <w:rtl/>
          <w:lang w:bidi="he-IL"/>
        </w:rPr>
        <w:t>למשיבה 1 על השעיית מוזס מעבודתו העיתונא</w:t>
      </w:r>
      <w:r w:rsidR="00B70F67" w:rsidRPr="00A53B8E">
        <w:rPr>
          <w:rFonts w:ascii="David" w:hAnsi="David" w:cs="David" w:hint="cs"/>
          <w:rtl/>
          <w:lang w:bidi="he-IL"/>
        </w:rPr>
        <w:t>י</w:t>
      </w:r>
      <w:r w:rsidR="006D2DB9" w:rsidRPr="00A53B8E">
        <w:rPr>
          <w:rFonts w:ascii="David" w:hAnsi="David" w:cs="David" w:hint="cs"/>
          <w:rtl/>
          <w:lang w:bidi="he-IL"/>
        </w:rPr>
        <w:t xml:space="preserve">ת, וזאת עד להכרעה </w:t>
      </w:r>
      <w:r w:rsidR="00B70F67" w:rsidRPr="00A53B8E">
        <w:rPr>
          <w:rFonts w:ascii="David" w:hAnsi="David" w:cs="David" w:hint="cs"/>
          <w:rtl/>
          <w:lang w:bidi="he-IL"/>
        </w:rPr>
        <w:t>ה</w:t>
      </w:r>
      <w:r w:rsidR="006D2DB9" w:rsidRPr="00A53B8E">
        <w:rPr>
          <w:rFonts w:ascii="David" w:hAnsi="David" w:cs="David" w:hint="cs"/>
          <w:rtl/>
          <w:lang w:bidi="he-IL"/>
        </w:rPr>
        <w:t>סופית בהליך הפלילי המתנהל נגדו (</w:t>
      </w:r>
      <w:r w:rsidR="006D2DB9" w:rsidRPr="00A53B8E">
        <w:rPr>
          <w:rFonts w:ascii="David" w:hAnsi="David" w:cs="David" w:hint="cs"/>
          <w:b/>
          <w:bCs/>
          <w:rtl/>
          <w:lang w:bidi="he-IL"/>
        </w:rPr>
        <w:t>ראו:</w:t>
      </w:r>
      <w:r w:rsidR="006D2DB9" w:rsidRPr="00A53B8E">
        <w:rPr>
          <w:rFonts w:ascii="David" w:hAnsi="David" w:cs="David" w:hint="cs"/>
          <w:rtl/>
          <w:lang w:bidi="he-IL"/>
        </w:rPr>
        <w:t xml:space="preserve"> סעיף 54 להחלטת בית-הדין).</w:t>
      </w:r>
      <w:r w:rsidR="00B70F67" w:rsidRPr="00A53B8E">
        <w:rPr>
          <w:rFonts w:ascii="David" w:hAnsi="David" w:cs="David" w:hint="cs"/>
          <w:rtl/>
          <w:lang w:bidi="he-IL"/>
        </w:rPr>
        <w:t xml:space="preserve"> עם זאת, רגע לפני שקם מכיסאו, תוקן התקנון, בין היתר, </w:t>
      </w:r>
      <w:r w:rsidR="003629FA" w:rsidRPr="00A53B8E">
        <w:rPr>
          <w:rFonts w:ascii="David" w:hAnsi="David" w:cs="David" w:hint="cs"/>
          <w:rtl/>
          <w:lang w:bidi="he-IL"/>
        </w:rPr>
        <w:t xml:space="preserve">באופן כזה שסעיף 25 </w:t>
      </w:r>
      <w:r w:rsidR="000B387A" w:rsidRPr="00A53B8E">
        <w:rPr>
          <w:rFonts w:ascii="David" w:hAnsi="David" w:cs="David" w:hint="cs"/>
          <w:rtl/>
          <w:lang w:bidi="he-IL"/>
        </w:rPr>
        <w:t>בוטל</w:t>
      </w:r>
      <w:r w:rsidR="00B70F67" w:rsidRPr="00A53B8E">
        <w:rPr>
          <w:rFonts w:ascii="David" w:hAnsi="David" w:cs="David" w:hint="cs"/>
          <w:rtl/>
          <w:lang w:bidi="he-IL"/>
        </w:rPr>
        <w:t>.</w:t>
      </w:r>
      <w:r w:rsidR="000B387A" w:rsidRPr="00A53B8E">
        <w:rPr>
          <w:rFonts w:ascii="David" w:hAnsi="David" w:cs="David" w:hint="cs"/>
          <w:rtl/>
          <w:lang w:bidi="he-IL"/>
        </w:rPr>
        <w:t xml:space="preserve"> </w:t>
      </w:r>
      <w:r w:rsidR="003629FA" w:rsidRPr="00A53B8E">
        <w:rPr>
          <w:rFonts w:ascii="David" w:hAnsi="David" w:cs="David" w:hint="cs"/>
          <w:rtl/>
          <w:lang w:bidi="he-IL"/>
        </w:rPr>
        <w:t>לגישת בית-הדין</w:t>
      </w:r>
      <w:r w:rsidR="00B70F67" w:rsidRPr="00A53B8E">
        <w:rPr>
          <w:rFonts w:ascii="David" w:hAnsi="David" w:cs="David" w:hint="cs"/>
          <w:rtl/>
          <w:lang w:bidi="he-IL"/>
        </w:rPr>
        <w:t>,</w:t>
      </w:r>
      <w:r w:rsidR="000B387A" w:rsidRPr="00A53B8E">
        <w:rPr>
          <w:rFonts w:ascii="David" w:hAnsi="David" w:cs="David" w:hint="cs"/>
          <w:rtl/>
          <w:lang w:bidi="he-IL"/>
        </w:rPr>
        <w:t xml:space="preserve"> </w:t>
      </w:r>
      <w:r w:rsidR="00B70F67" w:rsidRPr="00A53B8E">
        <w:rPr>
          <w:rFonts w:ascii="David" w:hAnsi="David" w:cs="David" w:hint="cs"/>
          <w:rtl/>
          <w:lang w:bidi="he-IL"/>
        </w:rPr>
        <w:t>יש לראות בכך כ</w:t>
      </w:r>
      <w:r w:rsidR="003629FA" w:rsidRPr="00A53B8E">
        <w:rPr>
          <w:rFonts w:ascii="David" w:hAnsi="David" w:cs="David" w:hint="cs"/>
          <w:rtl/>
          <w:lang w:bidi="he-IL"/>
        </w:rPr>
        <w:t xml:space="preserve">: </w:t>
      </w:r>
    </w:p>
    <w:p w14:paraId="0A7B66D6" w14:textId="26DC814F" w:rsidR="006D2DB9" w:rsidRPr="00A53B8E" w:rsidRDefault="003629FA" w:rsidP="000B387A">
      <w:pPr>
        <w:pStyle w:val="a3"/>
        <w:bidi/>
        <w:ind w:left="2274" w:right="1701"/>
        <w:jc w:val="both"/>
        <w:rPr>
          <w:rFonts w:ascii="David" w:hAnsi="David" w:cs="David"/>
          <w:lang w:bidi="he-IL"/>
        </w:rPr>
      </w:pPr>
      <w:r w:rsidRPr="00A53B8E">
        <w:rPr>
          <w:rFonts w:ascii="David" w:hAnsi="David" w:cs="David" w:hint="cs"/>
          <w:rtl/>
          <w:lang w:bidi="he-IL"/>
        </w:rPr>
        <w:t xml:space="preserve">דבר אומר דרשני, באשר, </w:t>
      </w:r>
      <w:r w:rsidRPr="00A53B8E">
        <w:rPr>
          <w:rFonts w:ascii="David" w:hAnsi="David" w:cs="David" w:hint="cs"/>
          <w:b/>
          <w:bCs/>
          <w:u w:val="single"/>
          <w:rtl/>
          <w:lang w:bidi="he-IL"/>
        </w:rPr>
        <w:t>אישור התקנון החדש</w:t>
      </w:r>
      <w:r w:rsidRPr="00A53B8E">
        <w:rPr>
          <w:rFonts w:ascii="David" w:hAnsi="David" w:cs="David" w:hint="cs"/>
          <w:rtl/>
          <w:lang w:bidi="he-IL"/>
        </w:rPr>
        <w:t xml:space="preserve">, נמדד על ידי, </w:t>
      </w:r>
      <w:r w:rsidRPr="00A53B8E">
        <w:rPr>
          <w:rFonts w:ascii="David" w:hAnsi="David" w:cs="David" w:hint="cs"/>
          <w:b/>
          <w:bCs/>
          <w:u w:val="single"/>
          <w:rtl/>
          <w:lang w:bidi="he-IL"/>
        </w:rPr>
        <w:t>כדבר המדבר בעד עצמו</w:t>
      </w:r>
      <w:r w:rsidRPr="00A53B8E">
        <w:rPr>
          <w:rFonts w:ascii="David" w:hAnsi="David" w:cs="David" w:hint="cs"/>
          <w:rtl/>
          <w:lang w:bidi="he-IL"/>
        </w:rPr>
        <w:t xml:space="preserve">, וככזה, קורא, לי לפחות, לעשות חשיבה מחודשת בתיק זה. </w:t>
      </w:r>
      <w:r w:rsidRPr="00A53B8E">
        <w:rPr>
          <w:rFonts w:ascii="David" w:hAnsi="David" w:cs="David" w:hint="cs"/>
          <w:b/>
          <w:bCs/>
          <w:u w:val="single"/>
          <w:rtl/>
          <w:lang w:bidi="he-IL"/>
        </w:rPr>
        <w:t>בנסיבות האמורות לעיל, ובהתייחס לכל אשר כתבתי, במצטבר, אני בדעה כי מן הראוי לדחות את התביעה שבפנינו</w:t>
      </w:r>
      <w:r w:rsidRPr="00A53B8E">
        <w:rPr>
          <w:rFonts w:ascii="David" w:hAnsi="David" w:cs="David" w:hint="cs"/>
          <w:rtl/>
          <w:lang w:bidi="he-IL"/>
        </w:rPr>
        <w:t xml:space="preserve"> (</w:t>
      </w:r>
      <w:r w:rsidRPr="00A53B8E">
        <w:rPr>
          <w:rFonts w:ascii="David" w:hAnsi="David" w:cs="David" w:hint="cs"/>
          <w:b/>
          <w:bCs/>
          <w:rtl/>
          <w:lang w:bidi="he-IL"/>
        </w:rPr>
        <w:t xml:space="preserve">ראו: </w:t>
      </w:r>
      <w:r w:rsidRPr="00A53B8E">
        <w:rPr>
          <w:rFonts w:ascii="David" w:hAnsi="David" w:cs="David" w:hint="cs"/>
          <w:rtl/>
          <w:lang w:bidi="he-IL"/>
        </w:rPr>
        <w:t xml:space="preserve">סעיפים 63-64 להחלטת בית-הדין </w:t>
      </w:r>
      <w:r w:rsidRPr="00A53B8E">
        <w:rPr>
          <w:rFonts w:ascii="David" w:hAnsi="David" w:cs="David"/>
          <w:rtl/>
          <w:lang w:bidi="he-IL"/>
        </w:rPr>
        <w:t>–</w:t>
      </w:r>
      <w:r w:rsidRPr="00A53B8E">
        <w:rPr>
          <w:rFonts w:ascii="David" w:hAnsi="David" w:cs="David" w:hint="cs"/>
          <w:rtl/>
          <w:lang w:bidi="he-IL"/>
        </w:rPr>
        <w:t xml:space="preserve"> ההדגשות במקור).</w:t>
      </w:r>
    </w:p>
    <w:p w14:paraId="49088543" w14:textId="2515150F" w:rsidR="00B73369" w:rsidRPr="00A53B8E" w:rsidRDefault="007F38CD" w:rsidP="00B70F67">
      <w:pPr>
        <w:pStyle w:val="a3"/>
        <w:bidi/>
        <w:spacing w:line="360" w:lineRule="auto"/>
        <w:jc w:val="both"/>
        <w:rPr>
          <w:rFonts w:ascii="David" w:hAnsi="David" w:cs="David"/>
          <w:lang w:bidi="he-IL"/>
        </w:rPr>
      </w:pPr>
      <w:r w:rsidRPr="00A53B8E">
        <w:rPr>
          <w:rFonts w:ascii="David" w:hAnsi="David" w:cs="David" w:hint="cs"/>
          <w:rtl/>
          <w:lang w:bidi="he-IL"/>
        </w:rPr>
        <w:t xml:space="preserve">  </w:t>
      </w:r>
      <w:r w:rsidR="000B387A" w:rsidRPr="00A53B8E">
        <w:rPr>
          <w:rFonts w:ascii="David" w:hAnsi="David" w:cs="David" w:hint="cs"/>
          <w:rtl/>
          <w:lang w:bidi="he-IL"/>
        </w:rPr>
        <w:t xml:space="preserve"> </w:t>
      </w:r>
      <w:r w:rsidR="00B73369" w:rsidRPr="00A53B8E">
        <w:rPr>
          <w:rFonts w:ascii="David" w:hAnsi="David" w:cs="David" w:hint="cs"/>
          <w:rtl/>
          <w:lang w:bidi="he-IL"/>
        </w:rPr>
        <w:t xml:space="preserve"> </w:t>
      </w:r>
    </w:p>
    <w:p w14:paraId="103E61D1" w14:textId="59D69FD1" w:rsidR="00AD55E1" w:rsidRPr="00A53B8E" w:rsidRDefault="009F1B1F" w:rsidP="009F1B1F">
      <w:pPr>
        <w:pStyle w:val="a3"/>
        <w:bidi/>
        <w:spacing w:line="360" w:lineRule="auto"/>
        <w:jc w:val="both"/>
        <w:rPr>
          <w:rFonts w:ascii="David" w:hAnsi="David" w:cs="David"/>
          <w:b/>
          <w:bCs/>
          <w:rtl/>
          <w:lang w:bidi="he-IL"/>
        </w:rPr>
      </w:pPr>
      <w:r w:rsidRPr="00A53B8E">
        <w:rPr>
          <w:rFonts w:ascii="David" w:hAnsi="David" w:cs="David" w:hint="cs"/>
          <w:b/>
          <w:bCs/>
          <w:rtl/>
          <w:lang w:bidi="he-IL"/>
        </w:rPr>
        <w:t>מכאן לערעור שבפנינו.</w:t>
      </w:r>
      <w:r w:rsidR="00B73369" w:rsidRPr="00A53B8E">
        <w:rPr>
          <w:rFonts w:ascii="David" w:hAnsi="David" w:cs="David" w:hint="cs"/>
          <w:b/>
          <w:bCs/>
          <w:rtl/>
          <w:lang w:bidi="he-IL"/>
        </w:rPr>
        <w:t xml:space="preserve">  </w:t>
      </w:r>
    </w:p>
    <w:p w14:paraId="19BDF7C2" w14:textId="34D5AA2E" w:rsidR="009F1B1F" w:rsidRPr="00A53B8E" w:rsidRDefault="009F1B1F" w:rsidP="009F1B1F">
      <w:pPr>
        <w:pStyle w:val="a3"/>
        <w:bidi/>
        <w:spacing w:line="360" w:lineRule="auto"/>
        <w:jc w:val="both"/>
        <w:rPr>
          <w:rFonts w:ascii="David" w:hAnsi="David" w:cs="David"/>
          <w:b/>
          <w:bCs/>
          <w:rtl/>
          <w:lang w:bidi="he-IL"/>
        </w:rPr>
      </w:pPr>
    </w:p>
    <w:p w14:paraId="03EE765D" w14:textId="21B53EC0" w:rsidR="00B70F67" w:rsidRDefault="00B70F67" w:rsidP="00B70F67">
      <w:pPr>
        <w:pStyle w:val="a3"/>
        <w:bidi/>
        <w:spacing w:line="360" w:lineRule="auto"/>
        <w:jc w:val="both"/>
        <w:rPr>
          <w:rFonts w:ascii="David" w:hAnsi="David" w:cs="David"/>
          <w:b/>
          <w:bCs/>
          <w:rtl/>
          <w:lang w:bidi="he-IL"/>
        </w:rPr>
      </w:pPr>
    </w:p>
    <w:p w14:paraId="4135115C" w14:textId="2BE7C672" w:rsidR="006825D3" w:rsidRDefault="006825D3" w:rsidP="006825D3">
      <w:pPr>
        <w:pStyle w:val="a3"/>
        <w:bidi/>
        <w:spacing w:line="360" w:lineRule="auto"/>
        <w:jc w:val="both"/>
        <w:rPr>
          <w:rFonts w:ascii="David" w:hAnsi="David" w:cs="David"/>
          <w:b/>
          <w:bCs/>
          <w:rtl/>
          <w:lang w:bidi="he-IL"/>
        </w:rPr>
      </w:pPr>
    </w:p>
    <w:p w14:paraId="75B4DCF3" w14:textId="77777777" w:rsidR="006825D3" w:rsidRPr="00A53B8E" w:rsidRDefault="006825D3" w:rsidP="006825D3">
      <w:pPr>
        <w:pStyle w:val="a3"/>
        <w:bidi/>
        <w:spacing w:line="360" w:lineRule="auto"/>
        <w:jc w:val="both"/>
        <w:rPr>
          <w:rFonts w:ascii="David" w:hAnsi="David" w:cs="David"/>
          <w:b/>
          <w:bCs/>
          <w:rtl/>
          <w:lang w:bidi="he-IL"/>
        </w:rPr>
      </w:pPr>
    </w:p>
    <w:p w14:paraId="759FFDF6" w14:textId="042B0085" w:rsidR="009F1B1F" w:rsidRPr="00A53B8E" w:rsidRDefault="009F1B1F" w:rsidP="009F1B1F">
      <w:pPr>
        <w:bidi/>
        <w:spacing w:line="360" w:lineRule="auto"/>
        <w:jc w:val="both"/>
        <w:rPr>
          <w:rFonts w:ascii="David" w:hAnsi="David" w:cs="David"/>
          <w:b/>
          <w:bCs/>
          <w:u w:val="single"/>
          <w:rtl/>
          <w:lang w:bidi="he-IL"/>
        </w:rPr>
      </w:pPr>
      <w:r w:rsidRPr="00A53B8E">
        <w:rPr>
          <w:rFonts w:ascii="David" w:hAnsi="David" w:cs="David" w:hint="cs"/>
          <w:b/>
          <w:bCs/>
          <w:u w:val="single"/>
          <w:rtl/>
          <w:lang w:bidi="he-IL"/>
        </w:rPr>
        <w:lastRenderedPageBreak/>
        <w:t>הערעור</w:t>
      </w:r>
    </w:p>
    <w:p w14:paraId="783BD011" w14:textId="0231E477" w:rsidR="007D5EBF" w:rsidRPr="00A53B8E" w:rsidRDefault="007D5EBF" w:rsidP="009F1B1F">
      <w:pPr>
        <w:pStyle w:val="a3"/>
        <w:numPr>
          <w:ilvl w:val="0"/>
          <w:numId w:val="1"/>
        </w:numPr>
        <w:bidi/>
        <w:spacing w:line="360" w:lineRule="auto"/>
        <w:jc w:val="both"/>
        <w:rPr>
          <w:rFonts w:ascii="David" w:hAnsi="David" w:cs="David"/>
          <w:lang w:bidi="he-IL"/>
        </w:rPr>
      </w:pPr>
      <w:r w:rsidRPr="00A53B8E">
        <w:rPr>
          <w:rFonts w:ascii="David" w:hAnsi="David" w:cs="David" w:hint="cs"/>
          <w:rtl/>
          <w:lang w:bidi="he-IL"/>
        </w:rPr>
        <w:t xml:space="preserve">על החלטת בית-הדין </w:t>
      </w:r>
      <w:r w:rsidR="00B70F67" w:rsidRPr="00A53B8E">
        <w:rPr>
          <w:rFonts w:ascii="David" w:hAnsi="David" w:cs="David" w:hint="cs"/>
          <w:rtl/>
          <w:lang w:bidi="he-IL"/>
        </w:rPr>
        <w:t>הגישה המערערת</w:t>
      </w:r>
      <w:r w:rsidRPr="00A53B8E">
        <w:rPr>
          <w:rFonts w:ascii="David" w:hAnsi="David" w:cs="David" w:hint="cs"/>
          <w:rtl/>
          <w:lang w:bidi="he-IL"/>
        </w:rPr>
        <w:t>, ביום 28/10/2020, את הערעור המונח בפנינו</w:t>
      </w:r>
      <w:r w:rsidR="005D7E26" w:rsidRPr="00A53B8E">
        <w:rPr>
          <w:rFonts w:ascii="David" w:hAnsi="David" w:cs="David" w:hint="cs"/>
          <w:rtl/>
          <w:lang w:bidi="he-IL"/>
        </w:rPr>
        <w:t>, בגדרו הוצגו שתי טענות מרכזיות:</w:t>
      </w:r>
      <w:r w:rsidR="00B70F67" w:rsidRPr="00A53B8E">
        <w:rPr>
          <w:rFonts w:ascii="David" w:hAnsi="David" w:cs="David" w:hint="cs"/>
          <w:rtl/>
          <w:lang w:bidi="he-IL"/>
        </w:rPr>
        <w:t xml:space="preserve"> </w:t>
      </w:r>
    </w:p>
    <w:p w14:paraId="7B12E962" w14:textId="0AE5C24F" w:rsidR="007D5EBF" w:rsidRPr="00A53B8E" w:rsidRDefault="007D5EBF" w:rsidP="007D5EBF">
      <w:pPr>
        <w:pStyle w:val="a3"/>
        <w:numPr>
          <w:ilvl w:val="0"/>
          <w:numId w:val="3"/>
        </w:numPr>
        <w:bidi/>
        <w:spacing w:line="360" w:lineRule="auto"/>
        <w:jc w:val="both"/>
        <w:rPr>
          <w:rFonts w:ascii="David" w:hAnsi="David" w:cs="David"/>
          <w:lang w:bidi="he-IL"/>
        </w:rPr>
      </w:pPr>
      <w:r w:rsidRPr="00A53B8E">
        <w:rPr>
          <w:rFonts w:ascii="David" w:hAnsi="David" w:cs="David" w:hint="cs"/>
          <w:rtl/>
          <w:lang w:bidi="he-IL"/>
        </w:rPr>
        <w:t>המערערת מלינה על כך, כי בית-הדין לא הזמין אותה להביא את טענותיה</w:t>
      </w:r>
      <w:r w:rsidR="00B70F67" w:rsidRPr="00A53B8E">
        <w:rPr>
          <w:rFonts w:ascii="David" w:hAnsi="David" w:cs="David" w:hint="cs"/>
          <w:rtl/>
          <w:lang w:bidi="he-IL"/>
        </w:rPr>
        <w:t>, עובר להכרעה בשאלה גופא,</w:t>
      </w:r>
      <w:r w:rsidRPr="00A53B8E">
        <w:rPr>
          <w:rFonts w:ascii="David" w:hAnsi="David" w:cs="David" w:hint="cs"/>
          <w:rtl/>
          <w:lang w:bidi="he-IL"/>
        </w:rPr>
        <w:t xml:space="preserve"> ביחס לשאלה אם בוטלה סמכות בית-הדין לפי סעיף 25 לתקנון </w:t>
      </w:r>
      <w:r w:rsidR="00B70F67" w:rsidRPr="00A53B8E">
        <w:rPr>
          <w:rFonts w:ascii="David" w:hAnsi="David" w:cs="David" w:hint="cs"/>
          <w:rtl/>
          <w:lang w:bidi="he-IL"/>
        </w:rPr>
        <w:t>במסגרת התיקון לתקנון</w:t>
      </w:r>
      <w:r w:rsidRPr="00A53B8E">
        <w:rPr>
          <w:rFonts w:ascii="David" w:hAnsi="David" w:cs="David" w:hint="cs"/>
          <w:rtl/>
          <w:lang w:bidi="he-IL"/>
        </w:rPr>
        <w:t>. זאת, במיוחד משום ששאלה זו לא נדונה במסגרת הדיון אשר התקיים בפני בית-הדין</w:t>
      </w:r>
      <w:r w:rsidR="00B70F67" w:rsidRPr="00A53B8E">
        <w:rPr>
          <w:rFonts w:ascii="David" w:hAnsi="David" w:cs="David" w:hint="cs"/>
          <w:rtl/>
          <w:lang w:bidi="he-IL"/>
        </w:rPr>
        <w:t>.</w:t>
      </w:r>
    </w:p>
    <w:p w14:paraId="1C7CA729" w14:textId="7FCD91A4" w:rsidR="005D7E26" w:rsidRPr="00A53B8E" w:rsidRDefault="00B70F67" w:rsidP="000A4F26">
      <w:pPr>
        <w:pStyle w:val="a3"/>
        <w:numPr>
          <w:ilvl w:val="0"/>
          <w:numId w:val="3"/>
        </w:numPr>
        <w:bidi/>
        <w:spacing w:line="360" w:lineRule="auto"/>
        <w:jc w:val="both"/>
        <w:rPr>
          <w:rFonts w:ascii="David" w:hAnsi="David" w:cs="David"/>
          <w:lang w:bidi="he-IL"/>
        </w:rPr>
      </w:pPr>
      <w:r w:rsidRPr="00A53B8E">
        <w:rPr>
          <w:rFonts w:ascii="David" w:hAnsi="David" w:cs="David" w:hint="cs"/>
          <w:rtl/>
          <w:lang w:bidi="he-IL"/>
        </w:rPr>
        <w:t xml:space="preserve">עוד טוענת המערערת, כי אין לראות בתיקון האמור של התקנון כמבטל את סמכות בית-הדין שלפי סעיף 25(א). שכן, במסגרת תיקון התקנון, </w:t>
      </w:r>
      <w:r w:rsidR="00D82FA9" w:rsidRPr="00A53B8E">
        <w:rPr>
          <w:rFonts w:ascii="David" w:hAnsi="David" w:cs="David" w:hint="cs"/>
          <w:rtl/>
          <w:lang w:bidi="he-IL"/>
        </w:rPr>
        <w:t xml:space="preserve">הוראת סעיף 25 הועברה ממסגרת נורמטיבית אחת, התקנון, למסגרת נורמטיבית אחרת, </w:t>
      </w:r>
      <w:r w:rsidR="007D5EBF" w:rsidRPr="00A53B8E">
        <w:rPr>
          <w:rFonts w:ascii="David" w:hAnsi="David" w:cs="David" w:hint="cs"/>
          <w:rtl/>
          <w:lang w:bidi="he-IL"/>
        </w:rPr>
        <w:t>סעיף 12 לנוהל בית הדין לאתיקה של מועצת העיתונות והתקשורת בישראל, כפי שאושר ביום 28</w:t>
      </w:r>
      <w:r w:rsidR="000A4F26">
        <w:rPr>
          <w:rFonts w:ascii="David" w:hAnsi="David" w:cs="David" w:hint="cs"/>
          <w:rtl/>
          <w:lang w:bidi="he-IL"/>
        </w:rPr>
        <w:t>.</w:t>
      </w:r>
      <w:r w:rsidR="007D5EBF" w:rsidRPr="00A53B8E">
        <w:rPr>
          <w:rFonts w:ascii="David" w:hAnsi="David" w:cs="David" w:hint="cs"/>
          <w:rtl/>
          <w:lang w:bidi="he-IL"/>
        </w:rPr>
        <w:t>11</w:t>
      </w:r>
      <w:r w:rsidR="000A4F26">
        <w:rPr>
          <w:rFonts w:ascii="David" w:hAnsi="David" w:cs="David" w:hint="cs"/>
          <w:rtl/>
          <w:lang w:bidi="he-IL"/>
        </w:rPr>
        <w:t>.</w:t>
      </w:r>
      <w:r w:rsidR="007D5EBF" w:rsidRPr="00A53B8E">
        <w:rPr>
          <w:rFonts w:ascii="David" w:hAnsi="David" w:cs="David" w:hint="cs"/>
          <w:rtl/>
          <w:lang w:bidi="he-IL"/>
        </w:rPr>
        <w:t xml:space="preserve">2019 (להלן: </w:t>
      </w:r>
      <w:r w:rsidR="007D5EBF" w:rsidRPr="00A53B8E">
        <w:rPr>
          <w:rFonts w:ascii="David" w:hAnsi="David" w:cs="David" w:hint="cs"/>
          <w:b/>
          <w:bCs/>
          <w:rtl/>
          <w:lang w:bidi="he-IL"/>
        </w:rPr>
        <w:t>נוהל בית-הדין</w:t>
      </w:r>
      <w:r w:rsidR="007D5EBF" w:rsidRPr="00A53B8E">
        <w:rPr>
          <w:rFonts w:ascii="David" w:hAnsi="David" w:cs="David" w:hint="cs"/>
          <w:rtl/>
          <w:lang w:bidi="he-IL"/>
        </w:rPr>
        <w:t xml:space="preserve">). </w:t>
      </w:r>
      <w:r w:rsidR="00D82FA9" w:rsidRPr="00A53B8E">
        <w:rPr>
          <w:rFonts w:ascii="David" w:hAnsi="David" w:cs="David" w:hint="cs"/>
          <w:rtl/>
          <w:lang w:bidi="he-IL"/>
        </w:rPr>
        <w:t xml:space="preserve"> </w:t>
      </w:r>
    </w:p>
    <w:p w14:paraId="3361C39A" w14:textId="571FAA17" w:rsidR="00130478" w:rsidRPr="00A53B8E" w:rsidRDefault="00D82FA9" w:rsidP="000A4F26">
      <w:pPr>
        <w:pStyle w:val="a3"/>
        <w:numPr>
          <w:ilvl w:val="0"/>
          <w:numId w:val="1"/>
        </w:numPr>
        <w:bidi/>
        <w:spacing w:line="360" w:lineRule="auto"/>
        <w:jc w:val="both"/>
        <w:rPr>
          <w:rFonts w:ascii="David" w:hAnsi="David" w:cs="David"/>
          <w:lang w:bidi="he-IL"/>
        </w:rPr>
      </w:pPr>
      <w:r w:rsidRPr="00A53B8E">
        <w:rPr>
          <w:rFonts w:ascii="David" w:hAnsi="David" w:cs="David" w:hint="cs"/>
          <w:rtl/>
          <w:lang w:bidi="he-IL"/>
        </w:rPr>
        <w:t>ל</w:t>
      </w:r>
      <w:r w:rsidR="005D7E26" w:rsidRPr="00A53B8E">
        <w:rPr>
          <w:rFonts w:ascii="David" w:hAnsi="David" w:cs="David" w:hint="cs"/>
          <w:rtl/>
          <w:lang w:bidi="he-IL"/>
        </w:rPr>
        <w:t>דיון אשר התקיים בפנינו ביום 10</w:t>
      </w:r>
      <w:r w:rsidR="000A4F26">
        <w:rPr>
          <w:rFonts w:ascii="David" w:hAnsi="David" w:cs="David" w:hint="cs"/>
          <w:rtl/>
          <w:lang w:bidi="he-IL"/>
        </w:rPr>
        <w:t>.</w:t>
      </w:r>
      <w:r w:rsidR="005D7E26" w:rsidRPr="00A53B8E">
        <w:rPr>
          <w:rFonts w:ascii="David" w:hAnsi="David" w:cs="David" w:hint="cs"/>
          <w:rtl/>
          <w:lang w:bidi="he-IL"/>
        </w:rPr>
        <w:t>12</w:t>
      </w:r>
      <w:r w:rsidR="000A4F26">
        <w:rPr>
          <w:rFonts w:ascii="David" w:hAnsi="David" w:cs="David" w:hint="cs"/>
          <w:rtl/>
          <w:lang w:bidi="he-IL"/>
        </w:rPr>
        <w:t>.</w:t>
      </w:r>
      <w:r w:rsidR="005D7E26" w:rsidRPr="00A53B8E">
        <w:rPr>
          <w:rFonts w:ascii="David" w:hAnsi="David" w:cs="David" w:hint="cs"/>
          <w:rtl/>
          <w:lang w:bidi="he-IL"/>
        </w:rPr>
        <w:t>2020 לא התייצבו המשיב</w:t>
      </w:r>
      <w:r w:rsidR="00130478" w:rsidRPr="00A53B8E">
        <w:rPr>
          <w:rFonts w:ascii="David" w:hAnsi="David" w:cs="David" w:hint="cs"/>
          <w:rtl/>
          <w:lang w:bidi="he-IL"/>
        </w:rPr>
        <w:t>ים</w:t>
      </w:r>
      <w:r w:rsidRPr="00A53B8E">
        <w:rPr>
          <w:rFonts w:ascii="David" w:hAnsi="David" w:cs="David" w:hint="cs"/>
          <w:rtl/>
          <w:lang w:bidi="he-IL"/>
        </w:rPr>
        <w:t xml:space="preserve"> לישיבה.</w:t>
      </w:r>
      <w:r w:rsidR="005D7E26" w:rsidRPr="00A53B8E">
        <w:rPr>
          <w:rFonts w:ascii="David" w:hAnsi="David" w:cs="David" w:hint="cs"/>
          <w:rtl/>
          <w:lang w:bidi="he-IL"/>
        </w:rPr>
        <w:t xml:space="preserve"> זאת, הגם </w:t>
      </w:r>
      <w:r w:rsidRPr="00A53B8E">
        <w:rPr>
          <w:rFonts w:ascii="David" w:hAnsi="David" w:cs="David" w:hint="cs"/>
          <w:rtl/>
          <w:lang w:bidi="he-IL"/>
        </w:rPr>
        <w:t>ש</w:t>
      </w:r>
      <w:r w:rsidR="005D7E26" w:rsidRPr="00A53B8E">
        <w:rPr>
          <w:rFonts w:ascii="David" w:hAnsi="David" w:cs="David" w:hint="cs"/>
          <w:rtl/>
          <w:lang w:bidi="he-IL"/>
        </w:rPr>
        <w:t>הוזמנו כדין</w:t>
      </w:r>
      <w:r w:rsidRPr="00A53B8E">
        <w:rPr>
          <w:rFonts w:ascii="David" w:hAnsi="David" w:cs="David" w:hint="cs"/>
          <w:rtl/>
          <w:lang w:bidi="he-IL"/>
        </w:rPr>
        <w:t xml:space="preserve">.  </w:t>
      </w:r>
    </w:p>
    <w:p w14:paraId="441C90CC" w14:textId="16EBBC67" w:rsidR="009F1B1F" w:rsidRPr="00A53B8E" w:rsidRDefault="009F1B1F" w:rsidP="009F1B1F">
      <w:pPr>
        <w:bidi/>
        <w:spacing w:line="360" w:lineRule="auto"/>
        <w:jc w:val="both"/>
        <w:rPr>
          <w:rFonts w:ascii="David" w:hAnsi="David" w:cs="David"/>
          <w:rtl/>
          <w:lang w:bidi="he-IL"/>
        </w:rPr>
      </w:pPr>
    </w:p>
    <w:p w14:paraId="6DA10102" w14:textId="25B74FF0" w:rsidR="009F1B1F" w:rsidRPr="00A53B8E" w:rsidRDefault="009F1B1F" w:rsidP="009F1B1F">
      <w:pPr>
        <w:bidi/>
        <w:spacing w:line="360" w:lineRule="auto"/>
        <w:jc w:val="both"/>
        <w:rPr>
          <w:rFonts w:ascii="David" w:hAnsi="David" w:cs="David"/>
          <w:b/>
          <w:bCs/>
          <w:u w:val="single"/>
          <w:rtl/>
          <w:lang w:bidi="he-IL"/>
        </w:rPr>
      </w:pPr>
      <w:r w:rsidRPr="00A53B8E">
        <w:rPr>
          <w:rFonts w:ascii="David" w:hAnsi="David" w:cs="David" w:hint="cs"/>
          <w:b/>
          <w:bCs/>
          <w:u w:val="single"/>
          <w:rtl/>
          <w:lang w:bidi="he-IL"/>
        </w:rPr>
        <w:t>דיון והכרעה</w:t>
      </w:r>
    </w:p>
    <w:p w14:paraId="1BE6C2CB" w14:textId="71E03DA3" w:rsidR="009E470A" w:rsidRPr="00A53B8E" w:rsidRDefault="009E470A" w:rsidP="009E470A">
      <w:pPr>
        <w:pStyle w:val="a3"/>
        <w:numPr>
          <w:ilvl w:val="0"/>
          <w:numId w:val="1"/>
        </w:numPr>
        <w:bidi/>
        <w:spacing w:line="360" w:lineRule="auto"/>
        <w:jc w:val="both"/>
        <w:rPr>
          <w:rFonts w:ascii="David" w:hAnsi="David" w:cs="David"/>
          <w:b/>
          <w:bCs/>
          <w:u w:val="single"/>
          <w:lang w:bidi="he-IL"/>
        </w:rPr>
      </w:pPr>
      <w:r w:rsidRPr="00A53B8E">
        <w:rPr>
          <w:rFonts w:ascii="David" w:hAnsi="David" w:cs="David" w:hint="cs"/>
          <w:b/>
          <w:bCs/>
          <w:rtl/>
          <w:lang w:bidi="he-IL"/>
        </w:rPr>
        <w:t>לאחר שעיינתי בערעור על כל נימוקיו, לרבות הטיעונים אשר הוצגו בפנינו בעל-פה, נחה דעתי כי יש לקבל את הערעור</w:t>
      </w:r>
      <w:r w:rsidR="00091795" w:rsidRPr="00A53B8E">
        <w:rPr>
          <w:rFonts w:ascii="David" w:hAnsi="David" w:cs="David" w:hint="cs"/>
          <w:b/>
          <w:bCs/>
          <w:rtl/>
          <w:lang w:bidi="he-IL"/>
        </w:rPr>
        <w:t>, ובהתאם להורות למשיבה 1 להשעות את מוזס מעבודתו העיתונאית עד להכרעה הסופית בהליך הפלילי המתנהל נגדו בפרשת 2000.</w:t>
      </w:r>
    </w:p>
    <w:p w14:paraId="6CA76A2C" w14:textId="1A72ADF7" w:rsidR="009F1B1F" w:rsidRPr="00A53B8E" w:rsidRDefault="007759B0" w:rsidP="00A92BFF">
      <w:pPr>
        <w:pStyle w:val="a3"/>
        <w:numPr>
          <w:ilvl w:val="0"/>
          <w:numId w:val="1"/>
        </w:numPr>
        <w:bidi/>
        <w:spacing w:line="360" w:lineRule="auto"/>
        <w:jc w:val="both"/>
        <w:rPr>
          <w:rFonts w:ascii="David" w:hAnsi="David" w:cs="David"/>
          <w:lang w:bidi="he-IL"/>
        </w:rPr>
      </w:pPr>
      <w:r w:rsidRPr="00A53B8E">
        <w:rPr>
          <w:rFonts w:ascii="David" w:hAnsi="David" w:cs="David" w:hint="cs"/>
          <w:rtl/>
          <w:lang w:bidi="he-IL"/>
        </w:rPr>
        <w:t xml:space="preserve">בטרם אידרש לסוגיה המשפטית </w:t>
      </w:r>
      <w:r w:rsidR="00A92BFF" w:rsidRPr="00A53B8E">
        <w:rPr>
          <w:rFonts w:ascii="David" w:hAnsi="David" w:cs="David" w:hint="cs"/>
          <w:rtl/>
          <w:lang w:bidi="he-IL"/>
        </w:rPr>
        <w:t>המונחת בפנינו</w:t>
      </w:r>
      <w:r w:rsidRPr="00A53B8E">
        <w:rPr>
          <w:rFonts w:ascii="David" w:hAnsi="David" w:cs="David" w:hint="cs"/>
          <w:rtl/>
          <w:lang w:bidi="he-IL"/>
        </w:rPr>
        <w:t xml:space="preserve">, אבקש להעיר, כי משצצה השאלה הנורמטיבית בדבר תוקפו של סעיף 25 לתקנון, היה זה נכון אילו בית-הדין </w:t>
      </w:r>
      <w:r w:rsidR="00A92BFF" w:rsidRPr="00A53B8E">
        <w:rPr>
          <w:rFonts w:ascii="David" w:hAnsi="David" w:cs="David" w:hint="cs"/>
          <w:rtl/>
          <w:lang w:bidi="he-IL"/>
        </w:rPr>
        <w:t xml:space="preserve">הזמין </w:t>
      </w:r>
      <w:r w:rsidRPr="00A53B8E">
        <w:rPr>
          <w:rFonts w:ascii="David" w:hAnsi="David" w:cs="David" w:hint="cs"/>
          <w:rtl/>
          <w:lang w:bidi="he-IL"/>
        </w:rPr>
        <w:t>את הצדדים להציג</w:t>
      </w:r>
      <w:r w:rsidR="00A92BFF" w:rsidRPr="00A53B8E">
        <w:rPr>
          <w:rFonts w:ascii="David" w:hAnsi="David" w:cs="David" w:hint="cs"/>
          <w:rtl/>
          <w:lang w:bidi="he-IL"/>
        </w:rPr>
        <w:t xml:space="preserve"> </w:t>
      </w:r>
      <w:r w:rsidRPr="00A53B8E">
        <w:rPr>
          <w:rFonts w:ascii="David" w:hAnsi="David" w:cs="David" w:hint="cs"/>
          <w:rtl/>
          <w:lang w:bidi="he-IL"/>
        </w:rPr>
        <w:t xml:space="preserve">את טיעוניהם </w:t>
      </w:r>
      <w:r w:rsidR="00A92BFF" w:rsidRPr="00A53B8E">
        <w:rPr>
          <w:rFonts w:ascii="David" w:hAnsi="David" w:cs="David"/>
          <w:rtl/>
          <w:lang w:bidi="he-IL"/>
        </w:rPr>
        <w:t>–</w:t>
      </w:r>
      <w:r w:rsidR="00A92BFF" w:rsidRPr="00A53B8E">
        <w:rPr>
          <w:rFonts w:ascii="David" w:hAnsi="David" w:cs="David" w:hint="cs"/>
          <w:rtl/>
          <w:lang w:bidi="he-IL"/>
        </w:rPr>
        <w:t xml:space="preserve"> ולו בכתב </w:t>
      </w:r>
      <w:r w:rsidR="00A92BFF" w:rsidRPr="00A53B8E">
        <w:rPr>
          <w:rFonts w:ascii="David" w:hAnsi="David" w:cs="David"/>
          <w:rtl/>
          <w:lang w:bidi="he-IL"/>
        </w:rPr>
        <w:t>–</w:t>
      </w:r>
      <w:r w:rsidR="00A92BFF" w:rsidRPr="00A53B8E">
        <w:rPr>
          <w:rFonts w:ascii="David" w:hAnsi="David" w:cs="David" w:hint="cs"/>
          <w:rtl/>
          <w:lang w:bidi="he-IL"/>
        </w:rPr>
        <w:t xml:space="preserve"> </w:t>
      </w:r>
      <w:r w:rsidRPr="00A53B8E">
        <w:rPr>
          <w:rFonts w:ascii="David" w:hAnsi="David" w:cs="David" w:hint="cs"/>
          <w:rtl/>
          <w:lang w:bidi="he-IL"/>
        </w:rPr>
        <w:t>ביחס לשאלה זו</w:t>
      </w:r>
      <w:r w:rsidR="00A92BFF" w:rsidRPr="00A53B8E">
        <w:rPr>
          <w:rFonts w:ascii="David" w:hAnsi="David" w:cs="David" w:hint="cs"/>
          <w:rtl/>
          <w:lang w:bidi="he-IL"/>
        </w:rPr>
        <w:t xml:space="preserve"> בטרם הכריע בה גופא. זאת, במיוחד הואיל ושאלה זו </w:t>
      </w:r>
      <w:r w:rsidR="006F1413" w:rsidRPr="00A53B8E">
        <w:rPr>
          <w:rFonts w:ascii="David" w:hAnsi="David" w:cs="David" w:hint="cs"/>
          <w:rtl/>
          <w:lang w:bidi="he-IL"/>
        </w:rPr>
        <w:t xml:space="preserve">עלתה רק </w:t>
      </w:r>
      <w:r w:rsidR="00A92BFF" w:rsidRPr="00A53B8E">
        <w:rPr>
          <w:rFonts w:ascii="David" w:hAnsi="David" w:cs="David" w:hint="cs"/>
          <w:rtl/>
          <w:lang w:bidi="he-IL"/>
        </w:rPr>
        <w:t>לאחר שהסתיים הדיון בפני בית-הדין ועובר למתן ההחלטה בתלונה עצמה</w:t>
      </w:r>
      <w:r w:rsidR="006F1413" w:rsidRPr="00A53B8E">
        <w:rPr>
          <w:rFonts w:ascii="David" w:hAnsi="David" w:cs="David" w:hint="cs"/>
          <w:rtl/>
          <w:lang w:bidi="he-IL"/>
        </w:rPr>
        <w:t>.</w:t>
      </w:r>
    </w:p>
    <w:p w14:paraId="3528108A" w14:textId="106833F6" w:rsidR="00A36DD0" w:rsidRPr="00A53B8E" w:rsidRDefault="006F1413" w:rsidP="00A36DD0">
      <w:pPr>
        <w:pStyle w:val="a3"/>
        <w:numPr>
          <w:ilvl w:val="0"/>
          <w:numId w:val="1"/>
        </w:numPr>
        <w:bidi/>
        <w:spacing w:line="360" w:lineRule="auto"/>
        <w:jc w:val="both"/>
        <w:rPr>
          <w:rFonts w:ascii="David" w:hAnsi="David" w:cs="David"/>
          <w:rtl/>
          <w:lang w:bidi="he-IL"/>
        </w:rPr>
      </w:pPr>
      <w:r w:rsidRPr="00A53B8E">
        <w:rPr>
          <w:rFonts w:ascii="David" w:hAnsi="David" w:cs="David" w:hint="cs"/>
          <w:rtl/>
          <w:lang w:bidi="he-IL"/>
        </w:rPr>
        <w:t>ועתה לערעור גופו. לגישתי, בית-הדין טעה, אם כי בהיסח הדעת, עת קבע כי סמכותו שלפי סעיף 25 לתקנון בוטלה. אומנם,</w:t>
      </w:r>
      <w:r w:rsidR="00A36DD0" w:rsidRPr="00A53B8E">
        <w:rPr>
          <w:rFonts w:ascii="David" w:hAnsi="David" w:cs="David" w:hint="cs"/>
          <w:rtl/>
          <w:lang w:bidi="he-IL"/>
        </w:rPr>
        <w:t xml:space="preserve"> במסגרת תיקון התקנון בוטל סעיף 25 האמור בכללותו, ואולם בכך לא בוטלה הסמכות עצמה. סעיף 22 לתקנון קובע:</w:t>
      </w:r>
    </w:p>
    <w:p w14:paraId="520FB9F5" w14:textId="2EDF9FBB" w:rsidR="00A36DD0" w:rsidRPr="00A53B8E" w:rsidRDefault="00A36DD0" w:rsidP="00A36DD0">
      <w:pPr>
        <w:bidi/>
        <w:ind w:left="2274" w:right="1701"/>
        <w:jc w:val="both"/>
        <w:rPr>
          <w:rFonts w:ascii="David" w:hAnsi="David" w:cs="David"/>
          <w:rtl/>
          <w:lang w:bidi="he-IL"/>
        </w:rPr>
      </w:pPr>
      <w:r w:rsidRPr="00A53B8E">
        <w:rPr>
          <w:rFonts w:ascii="David" w:hAnsi="David" w:cs="David" w:hint="cs"/>
          <w:rtl/>
          <w:lang w:bidi="he-IL"/>
        </w:rPr>
        <w:t>תלונות על הפרת סעיפי תקנון האתיקה יוגשו ויטופלו בהתאם לנוהל הגשת תלונות ולנוהל בית הדין לאתיקה שייקבעו על-ידי מועצת העיתונות והתקשורת בישראל.</w:t>
      </w:r>
    </w:p>
    <w:p w14:paraId="53FFA3AC" w14:textId="1136D60E" w:rsidR="00A36DD0" w:rsidRPr="00A53B8E" w:rsidRDefault="00A36DD0" w:rsidP="00A36DD0">
      <w:pPr>
        <w:bidi/>
        <w:spacing w:line="360" w:lineRule="auto"/>
        <w:jc w:val="both"/>
        <w:rPr>
          <w:rFonts w:ascii="David" w:hAnsi="David" w:cs="David"/>
          <w:rtl/>
          <w:lang w:bidi="he-IL"/>
        </w:rPr>
      </w:pPr>
    </w:p>
    <w:p w14:paraId="65F29FA2" w14:textId="1D2E56DB" w:rsidR="003A401C" w:rsidRPr="00A53B8E" w:rsidRDefault="00A36DD0" w:rsidP="000A4F26">
      <w:pPr>
        <w:bidi/>
        <w:spacing w:line="360" w:lineRule="auto"/>
        <w:ind w:left="720"/>
        <w:jc w:val="both"/>
        <w:rPr>
          <w:rFonts w:ascii="David" w:hAnsi="David" w:cs="David"/>
          <w:rtl/>
          <w:lang w:bidi="he-IL"/>
        </w:rPr>
      </w:pPr>
      <w:r w:rsidRPr="00A53B8E">
        <w:rPr>
          <w:rFonts w:ascii="David" w:hAnsi="David" w:cs="David" w:hint="cs"/>
          <w:rtl/>
          <w:lang w:bidi="he-IL"/>
        </w:rPr>
        <w:t>הן התקנון הן נוהל בית</w:t>
      </w:r>
      <w:r w:rsidR="00CC60FA" w:rsidRPr="00A53B8E">
        <w:rPr>
          <w:rFonts w:ascii="David" w:hAnsi="David" w:cs="David" w:hint="cs"/>
          <w:rtl/>
          <w:lang w:bidi="he-IL"/>
        </w:rPr>
        <w:t>-</w:t>
      </w:r>
      <w:r w:rsidRPr="00A53B8E">
        <w:rPr>
          <w:rFonts w:ascii="David" w:hAnsi="David" w:cs="David" w:hint="cs"/>
          <w:rtl/>
          <w:lang w:bidi="he-IL"/>
        </w:rPr>
        <w:t>הדין תוקנו בהליכים מקבילים על-ידי מועצת העיתונות והתקשורת בישראל, כאשר מלאכת תיקון</w:t>
      </w:r>
      <w:r w:rsidR="00CC60FA" w:rsidRPr="00A53B8E">
        <w:rPr>
          <w:rFonts w:ascii="David" w:hAnsi="David" w:cs="David" w:hint="cs"/>
          <w:rtl/>
          <w:lang w:bidi="he-IL"/>
        </w:rPr>
        <w:t xml:space="preserve"> נוהל בית-הדין הושלם ביום 28</w:t>
      </w:r>
      <w:r w:rsidR="000A4F26">
        <w:rPr>
          <w:rFonts w:ascii="David" w:hAnsi="David" w:cs="David" w:hint="cs"/>
          <w:rtl/>
          <w:lang w:bidi="he-IL"/>
        </w:rPr>
        <w:t>.</w:t>
      </w:r>
      <w:r w:rsidR="00CC60FA" w:rsidRPr="00A53B8E">
        <w:rPr>
          <w:rFonts w:ascii="David" w:hAnsi="David" w:cs="David" w:hint="cs"/>
          <w:rtl/>
          <w:lang w:bidi="he-IL"/>
        </w:rPr>
        <w:t>11</w:t>
      </w:r>
      <w:r w:rsidR="000A4F26">
        <w:rPr>
          <w:rFonts w:ascii="David" w:hAnsi="David" w:cs="David" w:hint="cs"/>
          <w:rtl/>
          <w:lang w:bidi="he-IL"/>
        </w:rPr>
        <w:t>.</w:t>
      </w:r>
      <w:r w:rsidR="00CC60FA" w:rsidRPr="00A53B8E">
        <w:rPr>
          <w:rFonts w:ascii="David" w:hAnsi="David" w:cs="David" w:hint="cs"/>
          <w:rtl/>
          <w:lang w:bidi="he-IL"/>
        </w:rPr>
        <w:t xml:space="preserve">2019, כשנה לפני שתיקון התקנון הסתיים בהצלחה (בחודש ספטמבר 2020). במסגרת הליכי התיקון האמורים, </w:t>
      </w:r>
      <w:r w:rsidR="000A4F26">
        <w:rPr>
          <w:rFonts w:ascii="David" w:hAnsi="David" w:cs="David" w:hint="cs"/>
          <w:rtl/>
          <w:lang w:bidi="he-IL"/>
        </w:rPr>
        <w:t xml:space="preserve">סברה </w:t>
      </w:r>
      <w:r w:rsidR="00CC60FA" w:rsidRPr="00A53B8E">
        <w:rPr>
          <w:rFonts w:ascii="David" w:hAnsi="David" w:cs="David" w:hint="cs"/>
          <w:rtl/>
          <w:lang w:bidi="he-IL"/>
        </w:rPr>
        <w:t xml:space="preserve">מועצת העיתונות והתקשורת בישראל כי מבחינה נורמטיבית נכון לעגן את הוראת סעיף 25 לתקנון במסגרת נוהל בית-הדין במקום </w:t>
      </w:r>
      <w:r w:rsidR="000A4F26">
        <w:rPr>
          <w:rFonts w:ascii="David" w:hAnsi="David" w:cs="David" w:hint="cs"/>
          <w:rtl/>
          <w:lang w:bidi="he-IL"/>
        </w:rPr>
        <w:t>ב</w:t>
      </w:r>
      <w:r w:rsidR="000A4F26" w:rsidRPr="00A53B8E">
        <w:rPr>
          <w:rFonts w:ascii="David" w:hAnsi="David" w:cs="David" w:hint="cs"/>
          <w:rtl/>
          <w:lang w:bidi="he-IL"/>
        </w:rPr>
        <w:t>תקנון</w:t>
      </w:r>
      <w:r w:rsidR="00CC60FA" w:rsidRPr="00A53B8E">
        <w:rPr>
          <w:rFonts w:ascii="David" w:hAnsi="David" w:cs="David" w:hint="cs"/>
          <w:rtl/>
          <w:lang w:bidi="he-IL"/>
        </w:rPr>
        <w:t>. תהא החלטת מועצת העיתונות והתקשורת בישראל נכונה</w:t>
      </w:r>
      <w:r w:rsidR="00A81D06" w:rsidRPr="00A53B8E">
        <w:rPr>
          <w:rFonts w:ascii="David" w:hAnsi="David" w:cs="David" w:hint="cs"/>
          <w:rtl/>
          <w:lang w:bidi="he-IL"/>
        </w:rPr>
        <w:t xml:space="preserve"> אם לאו, זו אינה השאלה המונחת בפנינו. משכך, ולאור סעיף 22 המפנה את בית-הדין מפורשות לנוהל בית-הדין, שומה היה על בית-הדין, בדונו בתלונת המערערת, לעיין בהוראות נוהל בית-הדין, או-אז היה מגלה את סעיף 12 הטומן בחובו כאמור, בגדר סעיף 12(א), את סמכות בית-הדין כפי שזו עוגנה עובר לכך בסעיף 25 לתקנון. </w:t>
      </w:r>
      <w:r w:rsidR="003A401C" w:rsidRPr="00A53B8E">
        <w:rPr>
          <w:rFonts w:ascii="David" w:hAnsi="David" w:cs="David" w:hint="cs"/>
          <w:rtl/>
          <w:lang w:bidi="he-IL"/>
        </w:rPr>
        <w:t>זו בעצם גם התשובה לתהיית בית-הדין, לפיה:</w:t>
      </w:r>
    </w:p>
    <w:p w14:paraId="4ADD7A14" w14:textId="47AB5E4F" w:rsidR="003A401C" w:rsidRPr="00A53B8E" w:rsidRDefault="003A401C" w:rsidP="003A401C">
      <w:pPr>
        <w:bidi/>
        <w:ind w:left="2274" w:right="1701"/>
        <w:jc w:val="both"/>
        <w:rPr>
          <w:rFonts w:ascii="David" w:hAnsi="David" w:cs="David"/>
          <w:b/>
          <w:bCs/>
          <w:rtl/>
          <w:lang w:bidi="he-IL"/>
        </w:rPr>
      </w:pPr>
      <w:r w:rsidRPr="00A53B8E">
        <w:rPr>
          <w:rFonts w:ascii="David" w:hAnsi="David" w:cs="David" w:hint="cs"/>
          <w:b/>
          <w:bCs/>
          <w:rtl/>
          <w:lang w:bidi="he-IL"/>
        </w:rPr>
        <w:t xml:space="preserve">בהערת אגב נעיר, כי אם מובנת במשהו הסרת הסעיף 25א׳ מתקנון המועצה, לא ברור לנו, על מה ולמה הוסר גם הסעיף </w:t>
      </w:r>
      <w:r w:rsidRPr="00A53B8E">
        <w:rPr>
          <w:rFonts w:ascii="David" w:hAnsi="David" w:cs="David" w:hint="cs"/>
          <w:b/>
          <w:bCs/>
          <w:rtl/>
          <w:lang w:bidi="he-IL"/>
        </w:rPr>
        <w:lastRenderedPageBreak/>
        <w:t xml:space="preserve">25ב׳, שראוי היה, לטעמינו, כי יוותר על מכונו (ראו: סעיף 6 לסיכום החלטת בית-הדין, בעמוד 10 להחלטה </w:t>
      </w:r>
      <w:r w:rsidRPr="00A53B8E">
        <w:rPr>
          <w:rFonts w:ascii="David" w:hAnsi="David" w:cs="David"/>
          <w:b/>
          <w:bCs/>
          <w:rtl/>
          <w:lang w:bidi="he-IL"/>
        </w:rPr>
        <w:t>–</w:t>
      </w:r>
      <w:r w:rsidRPr="00A53B8E">
        <w:rPr>
          <w:rFonts w:ascii="David" w:hAnsi="David" w:cs="David" w:hint="cs"/>
          <w:b/>
          <w:bCs/>
          <w:rtl/>
          <w:lang w:bidi="he-IL"/>
        </w:rPr>
        <w:t xml:space="preserve"> ההדגשה במקור).</w:t>
      </w:r>
    </w:p>
    <w:p w14:paraId="144DD844" w14:textId="096E71D6" w:rsidR="003A401C" w:rsidRPr="00A53B8E" w:rsidRDefault="003A401C" w:rsidP="003A401C">
      <w:pPr>
        <w:bidi/>
        <w:spacing w:line="360" w:lineRule="auto"/>
        <w:ind w:left="720"/>
        <w:jc w:val="both"/>
        <w:rPr>
          <w:rFonts w:ascii="David" w:hAnsi="David" w:cs="David"/>
          <w:b/>
          <w:bCs/>
          <w:rtl/>
          <w:lang w:bidi="he-IL"/>
        </w:rPr>
      </w:pPr>
    </w:p>
    <w:p w14:paraId="02D9B639" w14:textId="24EF3ACE" w:rsidR="00AE1B8B" w:rsidRPr="00A53B8E" w:rsidRDefault="000258DF" w:rsidP="00AE1B8B">
      <w:pPr>
        <w:pStyle w:val="a3"/>
        <w:numPr>
          <w:ilvl w:val="0"/>
          <w:numId w:val="1"/>
        </w:numPr>
        <w:bidi/>
        <w:spacing w:line="360" w:lineRule="auto"/>
        <w:jc w:val="both"/>
        <w:rPr>
          <w:rFonts w:ascii="David" w:hAnsi="David" w:cs="David"/>
          <w:b/>
          <w:bCs/>
          <w:lang w:bidi="he-IL"/>
        </w:rPr>
      </w:pPr>
      <w:r w:rsidRPr="00A53B8E">
        <w:rPr>
          <w:rFonts w:ascii="David" w:hAnsi="David" w:cs="David" w:hint="cs"/>
          <w:b/>
          <w:bCs/>
          <w:rtl/>
          <w:lang w:bidi="he-IL"/>
        </w:rPr>
        <w:t>הנה-כי-כן, משקבעתי זאת, ומשבחרו המשיבים שלא לערער על החלטתו של בית-הדין, הרי שמשמעות הדבר</w:t>
      </w:r>
      <w:r w:rsidR="002D4E70" w:rsidRPr="00A53B8E">
        <w:rPr>
          <w:rFonts w:ascii="David" w:hAnsi="David" w:cs="David" w:hint="cs"/>
          <w:b/>
          <w:bCs/>
          <w:rtl/>
          <w:lang w:bidi="he-IL"/>
        </w:rPr>
        <w:t xml:space="preserve"> היא כי קביעת בית-הדין, בדעת רוב, לגוף העניין, בעינה עומדת. רוצה לומר, כי המעשים הפליליים המיוחסים למוזס מבססים קלון על מקצוע העיתונ</w:t>
      </w:r>
      <w:r w:rsidR="00C3105F">
        <w:rPr>
          <w:rFonts w:ascii="David" w:hAnsi="David" w:cs="David" w:hint="cs"/>
          <w:b/>
          <w:bCs/>
          <w:rtl/>
          <w:lang w:bidi="he-IL"/>
        </w:rPr>
        <w:t>א</w:t>
      </w:r>
      <w:r w:rsidR="002D4E70" w:rsidRPr="00A53B8E">
        <w:rPr>
          <w:rFonts w:ascii="David" w:hAnsi="David" w:cs="David" w:hint="cs"/>
          <w:b/>
          <w:bCs/>
          <w:rtl/>
          <w:lang w:bidi="he-IL"/>
        </w:rPr>
        <w:t>ות, ומשכך יש להורות למשיבה 1 על השעיית עבודתו העיתונאית של מוזס עד להכרעה הסופית בהליך הפלילי המתנהל נגדו. מסקנה זו מתחייב</w:t>
      </w:r>
      <w:r w:rsidR="008F2B34" w:rsidRPr="00A53B8E">
        <w:rPr>
          <w:rFonts w:ascii="David" w:hAnsi="David" w:cs="David" w:hint="cs"/>
          <w:b/>
          <w:bCs/>
          <w:rtl/>
          <w:lang w:bidi="he-IL"/>
        </w:rPr>
        <w:t>ת לא</w:t>
      </w:r>
      <w:r w:rsidR="002D4E70" w:rsidRPr="00A53B8E">
        <w:rPr>
          <w:rFonts w:ascii="David" w:hAnsi="David" w:cs="David" w:hint="cs"/>
          <w:b/>
          <w:bCs/>
          <w:rtl/>
          <w:lang w:bidi="he-IL"/>
        </w:rPr>
        <w:t xml:space="preserve"> רק משום שהמשיבים בחרו שלא לערער על החלטת בית-הדין, כי אם גם משום שהחלטת בית-הדין בעניין זה נכונה היא לגופו של עניין</w:t>
      </w:r>
      <w:r w:rsidR="008F2B34" w:rsidRPr="00A53B8E">
        <w:rPr>
          <w:rFonts w:ascii="David" w:hAnsi="David" w:cs="David" w:hint="cs"/>
          <w:b/>
          <w:bCs/>
          <w:rtl/>
          <w:lang w:bidi="he-IL"/>
        </w:rPr>
        <w:t>.</w:t>
      </w:r>
      <w:r w:rsidR="00AE1B8B" w:rsidRPr="00A53B8E">
        <w:rPr>
          <w:rFonts w:ascii="David" w:hAnsi="David" w:cs="David" w:hint="cs"/>
          <w:b/>
          <w:bCs/>
          <w:rtl/>
          <w:lang w:bidi="he-IL"/>
        </w:rPr>
        <w:t xml:space="preserve"> </w:t>
      </w:r>
      <w:r w:rsidR="00091795" w:rsidRPr="00A53B8E">
        <w:rPr>
          <w:rFonts w:ascii="David" w:hAnsi="David" w:cs="David" w:hint="cs"/>
          <w:b/>
          <w:bCs/>
          <w:rtl/>
          <w:lang w:bidi="he-IL"/>
        </w:rPr>
        <w:t xml:space="preserve"> </w:t>
      </w:r>
    </w:p>
    <w:p w14:paraId="29749A0E" w14:textId="483CCAE8" w:rsidR="00B70631" w:rsidRPr="00A53B8E" w:rsidRDefault="00F6325B" w:rsidP="00861D4D">
      <w:pPr>
        <w:pStyle w:val="a3"/>
        <w:numPr>
          <w:ilvl w:val="0"/>
          <w:numId w:val="1"/>
        </w:numPr>
        <w:bidi/>
        <w:spacing w:line="360" w:lineRule="auto"/>
        <w:jc w:val="both"/>
        <w:rPr>
          <w:rFonts w:ascii="David" w:hAnsi="David" w:cs="David"/>
          <w:lang w:bidi="he-IL"/>
        </w:rPr>
      </w:pPr>
      <w:r w:rsidRPr="00A53B8E">
        <w:rPr>
          <w:rFonts w:ascii="David" w:hAnsi="David" w:cs="David" w:hint="cs"/>
          <w:rtl/>
          <w:lang w:bidi="he-IL"/>
        </w:rPr>
        <w:t>בשולי הדברים, אך לא בשולי חשיבותם</w:t>
      </w:r>
      <w:r w:rsidR="00934101" w:rsidRPr="00A53B8E">
        <w:rPr>
          <w:rFonts w:ascii="David" w:hAnsi="David" w:cs="David" w:hint="cs"/>
          <w:rtl/>
          <w:lang w:bidi="he-IL"/>
        </w:rPr>
        <w:t xml:space="preserve">, </w:t>
      </w:r>
      <w:r w:rsidRPr="00A53B8E">
        <w:rPr>
          <w:rFonts w:ascii="David" w:hAnsi="David" w:cs="David" w:hint="cs"/>
          <w:rtl/>
          <w:lang w:bidi="he-IL"/>
        </w:rPr>
        <w:t>ומניה וביה לא כהערת אגב, אני רואה לנכון להוסיף ו</w:t>
      </w:r>
      <w:r w:rsidR="00934101" w:rsidRPr="00A53B8E">
        <w:rPr>
          <w:rFonts w:ascii="David" w:hAnsi="David" w:cs="David" w:hint="cs"/>
          <w:rtl/>
          <w:lang w:bidi="he-IL"/>
        </w:rPr>
        <w:t xml:space="preserve">לברך את מועצת העיתונות והתקשורת בישראל על אימוץ נורמה אתית ועיגונה כנורמה משפטית </w:t>
      </w:r>
      <w:r w:rsidR="00325364" w:rsidRPr="00A53B8E">
        <w:rPr>
          <w:rFonts w:ascii="David" w:hAnsi="David" w:cs="David" w:hint="cs"/>
          <w:rtl/>
          <w:lang w:bidi="he-IL"/>
        </w:rPr>
        <w:t xml:space="preserve">מחייבת </w:t>
      </w:r>
      <w:r w:rsidR="00934101" w:rsidRPr="00A53B8E">
        <w:rPr>
          <w:rFonts w:ascii="David" w:hAnsi="David" w:cs="David" w:hint="cs"/>
          <w:rtl/>
          <w:lang w:bidi="he-IL"/>
        </w:rPr>
        <w:t xml:space="preserve">בדמות זו שלפי סעיף 12(א) לנוהל בית-הדין (עובר לכך, סעיף 25(א) לתקנון). </w:t>
      </w:r>
      <w:r w:rsidR="00861D4D" w:rsidRPr="00A53B8E">
        <w:rPr>
          <w:rFonts w:ascii="David" w:hAnsi="David" w:cs="David" w:hint="cs"/>
          <w:rtl/>
          <w:lang w:bidi="he-IL"/>
        </w:rPr>
        <w:t xml:space="preserve">יסודה של נורמה זו במשפט הציבורי ביחס לנבחרי ציבור, כפי שהדבר בא לידי ביטוי </w:t>
      </w:r>
      <w:r w:rsidR="00934101" w:rsidRPr="00A53B8E">
        <w:rPr>
          <w:rFonts w:ascii="David" w:hAnsi="David" w:cs="David" w:hint="cs"/>
          <w:rtl/>
          <w:lang w:bidi="he-IL"/>
        </w:rPr>
        <w:t xml:space="preserve">בפסיקה בית-המשפט העליון ביחס לשרים ולסגני שרים ולאחר מכן ביחס לראשי </w:t>
      </w:r>
      <w:r w:rsidR="00091795" w:rsidRPr="00A53B8E">
        <w:rPr>
          <w:rFonts w:ascii="David" w:hAnsi="David" w:cs="David" w:hint="cs"/>
          <w:rtl/>
          <w:lang w:bidi="he-IL"/>
        </w:rPr>
        <w:t>ערים</w:t>
      </w:r>
      <w:r w:rsidR="00934101" w:rsidRPr="00A53B8E">
        <w:rPr>
          <w:rFonts w:ascii="David" w:hAnsi="David" w:cs="David" w:hint="cs"/>
          <w:rtl/>
          <w:lang w:bidi="he-IL"/>
        </w:rPr>
        <w:t xml:space="preserve">. </w:t>
      </w:r>
    </w:p>
    <w:p w14:paraId="667FF4B2" w14:textId="7F333C91" w:rsidR="0018690F" w:rsidRPr="00A53B8E" w:rsidRDefault="00934101" w:rsidP="0018690F">
      <w:pPr>
        <w:pStyle w:val="a3"/>
        <w:numPr>
          <w:ilvl w:val="0"/>
          <w:numId w:val="1"/>
        </w:numPr>
        <w:bidi/>
        <w:spacing w:line="360" w:lineRule="auto"/>
        <w:jc w:val="both"/>
        <w:rPr>
          <w:rFonts w:ascii="David" w:hAnsi="David" w:cs="David"/>
          <w:color w:val="000000" w:themeColor="text1"/>
          <w:lang w:bidi="he-IL"/>
        </w:rPr>
      </w:pPr>
      <w:r w:rsidRPr="00A53B8E">
        <w:rPr>
          <w:rFonts w:ascii="David" w:hAnsi="David" w:cs="David"/>
          <w:color w:val="000000" w:themeColor="text1"/>
          <w:rtl/>
          <w:lang w:bidi="he-IL"/>
        </w:rPr>
        <w:t xml:space="preserve">בשני תקדימים, הידועים </w:t>
      </w:r>
      <w:r w:rsidR="00091795" w:rsidRPr="00A53B8E">
        <w:rPr>
          <w:rFonts w:ascii="David" w:hAnsi="David" w:cs="David" w:hint="cs"/>
          <w:color w:val="000000" w:themeColor="text1"/>
          <w:rtl/>
          <w:lang w:bidi="he-IL"/>
        </w:rPr>
        <w:t>כהלכת ״</w:t>
      </w:r>
      <w:r w:rsidRPr="00A53B8E">
        <w:rPr>
          <w:rFonts w:ascii="David" w:hAnsi="David" w:cs="David"/>
          <w:color w:val="000000" w:themeColor="text1"/>
          <w:rtl/>
          <w:lang w:bidi="he-IL"/>
        </w:rPr>
        <w:t>דרעי ופנחסי</w:t>
      </w:r>
      <w:r w:rsidR="00091795" w:rsidRPr="00A53B8E">
        <w:rPr>
          <w:rFonts w:ascii="David" w:hAnsi="David" w:cs="David" w:hint="cs"/>
          <w:color w:val="000000" w:themeColor="text1"/>
          <w:rtl/>
          <w:lang w:bidi="he-IL"/>
        </w:rPr>
        <w:t>״</w:t>
      </w:r>
      <w:r w:rsidRPr="00A53B8E">
        <w:rPr>
          <w:rFonts w:ascii="David" w:hAnsi="David" w:cs="David"/>
          <w:color w:val="000000" w:themeColor="text1"/>
          <w:rtl/>
          <w:lang w:bidi="he-IL"/>
        </w:rPr>
        <w:t>, ב</w:t>
      </w:r>
      <w:r w:rsidRPr="00A53B8E">
        <w:rPr>
          <w:rFonts w:ascii="David" w:hAnsi="David" w:cs="David" w:hint="cs"/>
          <w:color w:val="000000" w:themeColor="text1"/>
          <w:rtl/>
          <w:lang w:bidi="he-IL"/>
        </w:rPr>
        <w:t>ית-המשפט העליון, בשבתו כב</w:t>
      </w:r>
      <w:r w:rsidR="00091795" w:rsidRPr="00A53B8E">
        <w:rPr>
          <w:rFonts w:ascii="David" w:hAnsi="David" w:cs="David" w:hint="cs"/>
          <w:color w:val="000000" w:themeColor="text1"/>
          <w:rtl/>
          <w:lang w:bidi="he-IL"/>
        </w:rPr>
        <w:t>ית-המשפט הגבוה לצדק</w:t>
      </w:r>
      <w:r w:rsidRPr="00A53B8E">
        <w:rPr>
          <w:rFonts w:ascii="David" w:hAnsi="David" w:cs="David" w:hint="cs"/>
          <w:color w:val="000000" w:themeColor="text1"/>
          <w:rtl/>
          <w:lang w:bidi="he-IL"/>
        </w:rPr>
        <w:t>,</w:t>
      </w:r>
      <w:r w:rsidRPr="00A53B8E">
        <w:rPr>
          <w:rFonts w:ascii="David" w:hAnsi="David" w:cs="David"/>
          <w:color w:val="000000" w:themeColor="text1"/>
          <w:rtl/>
          <w:lang w:bidi="he-IL"/>
        </w:rPr>
        <w:t xml:space="preserve"> החליט כי כאשר מוגש כתב אישום בעבירות חמורות נגד שר – שוחד, קבלת דבר במרמה והפרת אימונים – סמכות ראש הממשלה, לפי סעיף 22(ב) לח</w:t>
      </w:r>
      <w:r w:rsidRPr="00A53B8E">
        <w:rPr>
          <w:rFonts w:ascii="David" w:hAnsi="David" w:cs="David" w:hint="cs"/>
          <w:color w:val="000000" w:themeColor="text1"/>
          <w:rtl/>
          <w:lang w:bidi="he-IL"/>
        </w:rPr>
        <w:t>וק-יסוד:</w:t>
      </w:r>
      <w:r w:rsidRPr="00A53B8E">
        <w:rPr>
          <w:rFonts w:ascii="David" w:hAnsi="David" w:cs="David"/>
          <w:color w:val="000000" w:themeColor="text1"/>
          <w:rtl/>
          <w:lang w:bidi="he-IL"/>
        </w:rPr>
        <w:t xml:space="preserve"> הממשלה, היא סמכות חובה. זאת, הגם שלשון חוק-היסוד עניינה בסמכות ברשות, וכן הגם שלפי סעיף 23(ב) לאותו חוק-היסוד כהונתו של שר כאמור תיפסק רק ביום מתן פסק-דין מרשיע נגדו והחלטה כי יש בעבירה בה הורשע משום קלון. עוד הוחלט, כי בנסיבות אלה אי-הפעלת הסמכות להעביר שר מתפקידו מגיעה לכדי אי-סבירות קיצונית</w:t>
      </w:r>
      <w:r w:rsidRPr="00A53B8E">
        <w:rPr>
          <w:rFonts w:ascii="David" w:hAnsi="David" w:cs="David" w:hint="cs"/>
          <w:color w:val="000000" w:themeColor="text1"/>
          <w:rtl/>
          <w:lang w:bidi="he-IL"/>
        </w:rPr>
        <w:t xml:space="preserve"> (</w:t>
      </w:r>
      <w:r w:rsidRPr="00A53B8E">
        <w:rPr>
          <w:rFonts w:ascii="David" w:hAnsi="David" w:cs="David" w:hint="cs"/>
          <w:b/>
          <w:bCs/>
          <w:color w:val="000000" w:themeColor="text1"/>
          <w:rtl/>
          <w:lang w:bidi="he-IL"/>
        </w:rPr>
        <w:t>ראו:</w:t>
      </w:r>
      <w:r w:rsidRPr="00A53B8E">
        <w:rPr>
          <w:rFonts w:ascii="David" w:hAnsi="David" w:cs="David" w:hint="cs"/>
          <w:color w:val="000000" w:themeColor="text1"/>
          <w:rtl/>
          <w:lang w:bidi="he-IL"/>
        </w:rPr>
        <w:t xml:space="preserve"> </w:t>
      </w:r>
      <w:r w:rsidR="0018690F" w:rsidRPr="00A53B8E">
        <w:rPr>
          <w:rFonts w:ascii="David" w:hAnsi="David" w:cs="David" w:hint="cs"/>
          <w:color w:val="000000" w:themeColor="text1"/>
          <w:rtl/>
          <w:lang w:bidi="he-IL"/>
        </w:rPr>
        <w:t xml:space="preserve">בג״ץ 3049/93 </w:t>
      </w:r>
      <w:r w:rsidR="0018690F" w:rsidRPr="00A53B8E">
        <w:rPr>
          <w:rFonts w:ascii="David" w:hAnsi="David" w:cs="David" w:hint="cs"/>
          <w:b/>
          <w:bCs/>
          <w:color w:val="000000" w:themeColor="text1"/>
          <w:rtl/>
          <w:lang w:bidi="he-IL"/>
        </w:rPr>
        <w:t xml:space="preserve">התנועה למען איכות השלטון בישראל </w:t>
      </w:r>
      <w:r w:rsidR="0018690F" w:rsidRPr="00A53B8E">
        <w:rPr>
          <w:rFonts w:ascii="David" w:hAnsi="David" w:cs="David" w:hint="cs"/>
          <w:color w:val="000000" w:themeColor="text1"/>
          <w:rtl/>
          <w:lang w:bidi="he-IL"/>
        </w:rPr>
        <w:t xml:space="preserve">נ׳ </w:t>
      </w:r>
      <w:r w:rsidR="0018690F" w:rsidRPr="00A53B8E">
        <w:rPr>
          <w:rFonts w:ascii="David" w:hAnsi="David" w:cs="David" w:hint="cs"/>
          <w:b/>
          <w:bCs/>
          <w:color w:val="000000" w:themeColor="text1"/>
          <w:rtl/>
          <w:lang w:bidi="he-IL"/>
        </w:rPr>
        <w:t>ממשלת ישראל ואח׳</w:t>
      </w:r>
      <w:r w:rsidR="0018690F" w:rsidRPr="00A53B8E">
        <w:rPr>
          <w:rFonts w:ascii="David" w:hAnsi="David" w:cs="David" w:hint="cs"/>
          <w:color w:val="000000" w:themeColor="text1"/>
          <w:rtl/>
          <w:lang w:bidi="he-IL"/>
        </w:rPr>
        <w:t xml:space="preserve">, פ״ד </w:t>
      </w:r>
      <w:proofErr w:type="spellStart"/>
      <w:r w:rsidR="0018690F" w:rsidRPr="00A53B8E">
        <w:rPr>
          <w:rFonts w:ascii="David" w:hAnsi="David" w:cs="David" w:hint="cs"/>
          <w:color w:val="000000" w:themeColor="text1"/>
          <w:rtl/>
          <w:lang w:bidi="he-IL"/>
        </w:rPr>
        <w:t>מז</w:t>
      </w:r>
      <w:proofErr w:type="spellEnd"/>
      <w:r w:rsidR="0018690F" w:rsidRPr="00A53B8E">
        <w:rPr>
          <w:rFonts w:ascii="David" w:hAnsi="David" w:cs="David" w:hint="cs"/>
          <w:color w:val="000000" w:themeColor="text1"/>
          <w:rtl/>
          <w:lang w:bidi="he-IL"/>
        </w:rPr>
        <w:t>(5) 404;</w:t>
      </w:r>
      <w:r w:rsidRPr="00A53B8E">
        <w:rPr>
          <w:rFonts w:ascii="David" w:hAnsi="David" w:cs="David" w:hint="cs"/>
          <w:color w:val="000000" w:themeColor="text1"/>
          <w:rtl/>
          <w:lang w:bidi="he-IL"/>
        </w:rPr>
        <w:t xml:space="preserve"> </w:t>
      </w:r>
      <w:r w:rsidR="0018690F" w:rsidRPr="00A53B8E">
        <w:rPr>
          <w:rFonts w:ascii="David" w:hAnsi="David" w:cs="David" w:hint="cs"/>
          <w:color w:val="000000" w:themeColor="text1"/>
          <w:rtl/>
          <w:lang w:bidi="he-IL"/>
        </w:rPr>
        <w:t xml:space="preserve">בג״ץ 4287/93 </w:t>
      </w:r>
      <w:r w:rsidR="0018690F" w:rsidRPr="00A53B8E">
        <w:rPr>
          <w:rFonts w:ascii="David" w:hAnsi="David" w:cs="David" w:hint="cs"/>
          <w:b/>
          <w:bCs/>
          <w:color w:val="000000" w:themeColor="text1"/>
          <w:rtl/>
          <w:lang w:bidi="he-IL"/>
        </w:rPr>
        <w:t xml:space="preserve">אמיתי </w:t>
      </w:r>
      <w:r w:rsidR="0018690F" w:rsidRPr="00A53B8E">
        <w:rPr>
          <w:rFonts w:ascii="David" w:hAnsi="David" w:cs="David"/>
          <w:b/>
          <w:bCs/>
          <w:color w:val="000000" w:themeColor="text1"/>
          <w:rtl/>
          <w:lang w:bidi="he-IL"/>
        </w:rPr>
        <w:t>–</w:t>
      </w:r>
      <w:r w:rsidR="0018690F" w:rsidRPr="00A53B8E">
        <w:rPr>
          <w:rFonts w:ascii="David" w:hAnsi="David" w:cs="David" w:hint="cs"/>
          <w:b/>
          <w:bCs/>
          <w:color w:val="000000" w:themeColor="text1"/>
          <w:rtl/>
          <w:lang w:bidi="he-IL"/>
        </w:rPr>
        <w:t xml:space="preserve"> אזרחים למען </w:t>
      </w:r>
      <w:proofErr w:type="spellStart"/>
      <w:r w:rsidR="0018690F" w:rsidRPr="00A53B8E">
        <w:rPr>
          <w:rFonts w:ascii="David" w:hAnsi="David" w:cs="David" w:hint="cs"/>
          <w:b/>
          <w:bCs/>
          <w:color w:val="000000" w:themeColor="text1"/>
          <w:rtl/>
          <w:lang w:bidi="he-IL"/>
        </w:rPr>
        <w:t>מינהל</w:t>
      </w:r>
      <w:proofErr w:type="spellEnd"/>
      <w:r w:rsidR="0018690F" w:rsidRPr="00A53B8E">
        <w:rPr>
          <w:rFonts w:ascii="David" w:hAnsi="David" w:cs="David" w:hint="cs"/>
          <w:b/>
          <w:bCs/>
          <w:color w:val="000000" w:themeColor="text1"/>
          <w:rtl/>
          <w:lang w:bidi="he-IL"/>
        </w:rPr>
        <w:t xml:space="preserve"> תקין וטוהר המידות </w:t>
      </w:r>
      <w:r w:rsidR="0018690F" w:rsidRPr="00A53B8E">
        <w:rPr>
          <w:rFonts w:ascii="David" w:hAnsi="David" w:cs="David" w:hint="cs"/>
          <w:color w:val="000000" w:themeColor="text1"/>
          <w:rtl/>
          <w:lang w:bidi="he-IL"/>
        </w:rPr>
        <w:t xml:space="preserve">נ׳ </w:t>
      </w:r>
      <w:r w:rsidR="0018690F" w:rsidRPr="00A53B8E">
        <w:rPr>
          <w:rFonts w:ascii="David" w:hAnsi="David" w:cs="David" w:hint="cs"/>
          <w:b/>
          <w:bCs/>
          <w:color w:val="000000" w:themeColor="text1"/>
          <w:rtl/>
          <w:lang w:bidi="he-IL"/>
        </w:rPr>
        <w:t>יצחק רבין, ראש ממשלת ישראל</w:t>
      </w:r>
      <w:r w:rsidR="0018690F" w:rsidRPr="00A53B8E">
        <w:rPr>
          <w:rFonts w:ascii="David" w:hAnsi="David" w:cs="David" w:hint="cs"/>
          <w:color w:val="000000" w:themeColor="text1"/>
          <w:rtl/>
          <w:lang w:bidi="he-IL"/>
        </w:rPr>
        <w:t xml:space="preserve">, פ״ד </w:t>
      </w:r>
      <w:proofErr w:type="spellStart"/>
      <w:r w:rsidR="0018690F" w:rsidRPr="00A53B8E">
        <w:rPr>
          <w:rFonts w:ascii="David" w:hAnsi="David" w:cs="David" w:hint="cs"/>
          <w:color w:val="000000" w:themeColor="text1"/>
          <w:rtl/>
          <w:lang w:bidi="he-IL"/>
        </w:rPr>
        <w:t>מז</w:t>
      </w:r>
      <w:proofErr w:type="spellEnd"/>
      <w:r w:rsidR="0018690F" w:rsidRPr="00A53B8E">
        <w:rPr>
          <w:rFonts w:ascii="David" w:hAnsi="David" w:cs="David" w:hint="cs"/>
          <w:color w:val="000000" w:themeColor="text1"/>
          <w:rtl/>
          <w:lang w:bidi="he-IL"/>
        </w:rPr>
        <w:t>(5) 441).</w:t>
      </w:r>
    </w:p>
    <w:p w14:paraId="3E71666E" w14:textId="37AD7E0B" w:rsidR="00271D42" w:rsidRPr="00A53B8E" w:rsidRDefault="00934101" w:rsidP="00352172">
      <w:pPr>
        <w:pStyle w:val="a3"/>
        <w:numPr>
          <w:ilvl w:val="0"/>
          <w:numId w:val="1"/>
        </w:numPr>
        <w:bidi/>
        <w:spacing w:line="360" w:lineRule="auto"/>
        <w:jc w:val="both"/>
        <w:rPr>
          <w:rFonts w:ascii="David" w:hAnsi="David" w:cs="David"/>
          <w:color w:val="000000" w:themeColor="text1"/>
          <w:rtl/>
          <w:lang w:bidi="he-IL"/>
        </w:rPr>
      </w:pPr>
      <w:r w:rsidRPr="00A53B8E">
        <w:rPr>
          <w:rFonts w:ascii="David" w:hAnsi="David" w:cs="David"/>
          <w:color w:val="000000" w:themeColor="text1"/>
          <w:rtl/>
          <w:lang w:bidi="he-IL"/>
        </w:rPr>
        <w:t>חיזוק</w:t>
      </w:r>
      <w:r w:rsidRPr="00A53B8E">
        <w:rPr>
          <w:rFonts w:ascii="David" w:hAnsi="David" w:cs="David"/>
          <w:color w:val="000000" w:themeColor="text1"/>
          <w:rtl/>
        </w:rPr>
        <w:t xml:space="preserve"> </w:t>
      </w:r>
      <w:r w:rsidRPr="00A53B8E">
        <w:rPr>
          <w:rFonts w:ascii="David" w:hAnsi="David" w:cs="David"/>
          <w:color w:val="000000" w:themeColor="text1"/>
          <w:rtl/>
          <w:lang w:bidi="he-IL"/>
        </w:rPr>
        <w:t>לגישה</w:t>
      </w:r>
      <w:r w:rsidRPr="00A53B8E">
        <w:rPr>
          <w:rFonts w:ascii="David" w:hAnsi="David" w:cs="David"/>
          <w:color w:val="000000" w:themeColor="text1"/>
          <w:rtl/>
        </w:rPr>
        <w:t xml:space="preserve"> </w:t>
      </w:r>
      <w:r w:rsidRPr="00A53B8E">
        <w:rPr>
          <w:rFonts w:ascii="David" w:hAnsi="David" w:cs="David"/>
          <w:color w:val="000000" w:themeColor="text1"/>
          <w:rtl/>
          <w:lang w:bidi="he-IL"/>
        </w:rPr>
        <w:t>זו</w:t>
      </w:r>
      <w:r w:rsidRPr="00A53B8E">
        <w:rPr>
          <w:rFonts w:ascii="David" w:hAnsi="David" w:cs="David"/>
          <w:color w:val="000000" w:themeColor="text1"/>
          <w:rtl/>
        </w:rPr>
        <w:t xml:space="preserve"> </w:t>
      </w:r>
      <w:r w:rsidRPr="00A53B8E">
        <w:rPr>
          <w:rFonts w:ascii="David" w:hAnsi="David" w:cs="David"/>
          <w:color w:val="000000" w:themeColor="text1"/>
          <w:rtl/>
          <w:lang w:bidi="he-IL"/>
        </w:rPr>
        <w:t>ניתן</w:t>
      </w:r>
      <w:r w:rsidRPr="00A53B8E">
        <w:rPr>
          <w:rFonts w:ascii="David" w:hAnsi="David" w:cs="David"/>
          <w:color w:val="000000" w:themeColor="text1"/>
          <w:rtl/>
        </w:rPr>
        <w:t xml:space="preserve"> </w:t>
      </w:r>
      <w:r w:rsidRPr="00A53B8E">
        <w:rPr>
          <w:rFonts w:ascii="David" w:hAnsi="David" w:cs="David"/>
          <w:color w:val="000000" w:themeColor="text1"/>
          <w:rtl/>
          <w:lang w:bidi="he-IL"/>
        </w:rPr>
        <w:t>למצוא</w:t>
      </w:r>
      <w:r w:rsidRPr="00A53B8E">
        <w:rPr>
          <w:rFonts w:ascii="David" w:hAnsi="David" w:cs="David"/>
          <w:color w:val="000000" w:themeColor="text1"/>
          <w:rtl/>
        </w:rPr>
        <w:t xml:space="preserve"> </w:t>
      </w:r>
      <w:r w:rsidRPr="00A53B8E">
        <w:rPr>
          <w:rFonts w:ascii="David" w:hAnsi="David" w:cs="David"/>
          <w:color w:val="000000" w:themeColor="text1"/>
          <w:rtl/>
          <w:lang w:bidi="he-IL"/>
        </w:rPr>
        <w:t>בהתפתחות</w:t>
      </w:r>
      <w:r w:rsidRPr="00A53B8E">
        <w:rPr>
          <w:rFonts w:ascii="David" w:hAnsi="David" w:cs="David"/>
          <w:color w:val="000000" w:themeColor="text1"/>
          <w:rtl/>
        </w:rPr>
        <w:t xml:space="preserve"> </w:t>
      </w:r>
      <w:r w:rsidRPr="00A53B8E">
        <w:rPr>
          <w:rFonts w:ascii="David" w:hAnsi="David" w:cs="David"/>
          <w:color w:val="000000" w:themeColor="text1"/>
          <w:rtl/>
          <w:lang w:bidi="he-IL"/>
        </w:rPr>
        <w:t>משמעותית</w:t>
      </w:r>
      <w:r w:rsidRPr="00A53B8E">
        <w:rPr>
          <w:rFonts w:ascii="David" w:hAnsi="David" w:cs="David"/>
          <w:color w:val="000000" w:themeColor="text1"/>
          <w:rtl/>
        </w:rPr>
        <w:t xml:space="preserve"> </w:t>
      </w:r>
      <w:r w:rsidRPr="00A53B8E">
        <w:rPr>
          <w:rFonts w:ascii="David" w:hAnsi="David" w:cs="David"/>
          <w:color w:val="000000" w:themeColor="text1"/>
          <w:rtl/>
          <w:lang w:bidi="he-IL"/>
        </w:rPr>
        <w:t>של</w:t>
      </w:r>
      <w:r w:rsidRPr="00A53B8E">
        <w:rPr>
          <w:rFonts w:ascii="David" w:hAnsi="David" w:cs="David"/>
          <w:color w:val="000000" w:themeColor="text1"/>
          <w:rtl/>
        </w:rPr>
        <w:t xml:space="preserve"> </w:t>
      </w:r>
      <w:r w:rsidRPr="00A53B8E">
        <w:rPr>
          <w:rFonts w:ascii="David" w:hAnsi="David" w:cs="David"/>
          <w:color w:val="000000" w:themeColor="text1"/>
          <w:rtl/>
          <w:lang w:bidi="he-IL"/>
        </w:rPr>
        <w:t>הלכת</w:t>
      </w:r>
      <w:r w:rsidRPr="00A53B8E">
        <w:rPr>
          <w:rFonts w:ascii="David" w:hAnsi="David" w:cs="David"/>
          <w:color w:val="000000" w:themeColor="text1"/>
          <w:rtl/>
        </w:rPr>
        <w:t xml:space="preserve"> </w:t>
      </w:r>
      <w:r w:rsidR="0018690F" w:rsidRPr="00A53B8E">
        <w:rPr>
          <w:rFonts w:ascii="David" w:hAnsi="David" w:cs="David" w:hint="cs"/>
          <w:color w:val="000000" w:themeColor="text1"/>
          <w:rtl/>
          <w:lang w:bidi="he-IL"/>
        </w:rPr>
        <w:t>״</w:t>
      </w:r>
      <w:r w:rsidRPr="00A53B8E">
        <w:rPr>
          <w:rFonts w:ascii="David" w:hAnsi="David" w:cs="David"/>
          <w:color w:val="000000" w:themeColor="text1"/>
          <w:rtl/>
          <w:lang w:bidi="he-IL"/>
        </w:rPr>
        <w:t>דרעי</w:t>
      </w:r>
      <w:r w:rsidRPr="00A53B8E">
        <w:rPr>
          <w:rFonts w:ascii="David" w:hAnsi="David" w:cs="David"/>
          <w:color w:val="000000" w:themeColor="text1"/>
          <w:rtl/>
        </w:rPr>
        <w:t xml:space="preserve"> </w:t>
      </w:r>
      <w:r w:rsidRPr="00A53B8E">
        <w:rPr>
          <w:rFonts w:ascii="David" w:hAnsi="David" w:cs="David"/>
          <w:color w:val="000000" w:themeColor="text1"/>
          <w:rtl/>
          <w:lang w:bidi="he-IL"/>
        </w:rPr>
        <w:t>ופנחסי</w:t>
      </w:r>
      <w:r w:rsidR="0018690F" w:rsidRPr="00A53B8E">
        <w:rPr>
          <w:rFonts w:ascii="David" w:hAnsi="David" w:cs="David" w:hint="cs"/>
          <w:color w:val="000000" w:themeColor="text1"/>
          <w:rtl/>
          <w:lang w:bidi="he-IL"/>
        </w:rPr>
        <w:t>״</w:t>
      </w:r>
      <w:r w:rsidRPr="00A53B8E">
        <w:rPr>
          <w:rFonts w:ascii="David" w:hAnsi="David" w:cs="David"/>
          <w:color w:val="000000" w:themeColor="text1"/>
          <w:rtl/>
        </w:rPr>
        <w:t xml:space="preserve"> </w:t>
      </w:r>
      <w:r w:rsidRPr="00A53B8E">
        <w:rPr>
          <w:rFonts w:ascii="David" w:hAnsi="David" w:cs="David"/>
          <w:color w:val="000000" w:themeColor="text1"/>
          <w:rtl/>
          <w:lang w:bidi="he-IL"/>
        </w:rPr>
        <w:t>ביחס</w:t>
      </w:r>
      <w:r w:rsidRPr="00A53B8E">
        <w:rPr>
          <w:rFonts w:ascii="David" w:hAnsi="David" w:cs="David"/>
          <w:color w:val="000000" w:themeColor="text1"/>
          <w:rtl/>
        </w:rPr>
        <w:t xml:space="preserve"> </w:t>
      </w:r>
      <w:r w:rsidRPr="00A53B8E">
        <w:rPr>
          <w:rFonts w:ascii="David" w:hAnsi="David" w:cs="David"/>
          <w:color w:val="000000" w:themeColor="text1"/>
          <w:rtl/>
          <w:lang w:bidi="he-IL"/>
        </w:rPr>
        <w:t>לסמכות</w:t>
      </w:r>
      <w:r w:rsidRPr="00A53B8E">
        <w:rPr>
          <w:rFonts w:ascii="David" w:hAnsi="David" w:cs="David"/>
          <w:color w:val="000000" w:themeColor="text1"/>
          <w:rtl/>
        </w:rPr>
        <w:t xml:space="preserve"> </w:t>
      </w:r>
      <w:r w:rsidRPr="00A53B8E">
        <w:rPr>
          <w:rFonts w:ascii="David" w:hAnsi="David" w:cs="David"/>
          <w:color w:val="000000" w:themeColor="text1"/>
          <w:rtl/>
          <w:lang w:bidi="he-IL"/>
        </w:rPr>
        <w:t>ברשות</w:t>
      </w:r>
      <w:r w:rsidRPr="00A53B8E">
        <w:rPr>
          <w:rFonts w:ascii="David" w:hAnsi="David" w:cs="David"/>
          <w:color w:val="000000" w:themeColor="text1"/>
          <w:rtl/>
        </w:rPr>
        <w:t xml:space="preserve"> </w:t>
      </w:r>
      <w:r w:rsidRPr="00A53B8E">
        <w:rPr>
          <w:rFonts w:ascii="David" w:hAnsi="David" w:cs="David"/>
          <w:color w:val="000000" w:themeColor="text1"/>
          <w:rtl/>
          <w:lang w:bidi="he-IL"/>
        </w:rPr>
        <w:t>של</w:t>
      </w:r>
      <w:r w:rsidRPr="00A53B8E">
        <w:rPr>
          <w:rFonts w:ascii="David" w:hAnsi="David" w:cs="David"/>
          <w:color w:val="000000" w:themeColor="text1"/>
          <w:rtl/>
        </w:rPr>
        <w:t xml:space="preserve"> </w:t>
      </w:r>
      <w:r w:rsidRPr="00A53B8E">
        <w:rPr>
          <w:rFonts w:ascii="David" w:hAnsi="David" w:cs="David"/>
          <w:color w:val="000000" w:themeColor="text1"/>
          <w:rtl/>
          <w:lang w:bidi="he-IL"/>
        </w:rPr>
        <w:t>מועצת עיר</w:t>
      </w:r>
      <w:r w:rsidRPr="00A53B8E">
        <w:rPr>
          <w:rFonts w:ascii="David" w:hAnsi="David" w:cs="David"/>
          <w:color w:val="000000" w:themeColor="text1"/>
          <w:rtl/>
        </w:rPr>
        <w:t xml:space="preserve"> </w:t>
      </w:r>
      <w:r w:rsidRPr="00A53B8E">
        <w:rPr>
          <w:rFonts w:ascii="David" w:hAnsi="David" w:cs="David"/>
          <w:color w:val="000000" w:themeColor="text1"/>
          <w:rtl/>
          <w:lang w:bidi="he-IL"/>
        </w:rPr>
        <w:t>להעביר</w:t>
      </w:r>
      <w:r w:rsidRPr="00A53B8E">
        <w:rPr>
          <w:rFonts w:ascii="David" w:hAnsi="David" w:cs="David"/>
          <w:color w:val="000000" w:themeColor="text1"/>
          <w:rtl/>
        </w:rPr>
        <w:t xml:space="preserve"> </w:t>
      </w:r>
      <w:r w:rsidRPr="00A53B8E">
        <w:rPr>
          <w:rFonts w:ascii="David" w:hAnsi="David" w:cs="David"/>
          <w:color w:val="000000" w:themeColor="text1"/>
          <w:rtl/>
          <w:lang w:bidi="he-IL"/>
        </w:rPr>
        <w:t>ראש</w:t>
      </w:r>
      <w:r w:rsidRPr="00A53B8E">
        <w:rPr>
          <w:rFonts w:ascii="David" w:hAnsi="David" w:cs="David"/>
          <w:color w:val="000000" w:themeColor="text1"/>
          <w:rtl/>
        </w:rPr>
        <w:t xml:space="preserve"> </w:t>
      </w:r>
      <w:r w:rsidRPr="00A53B8E">
        <w:rPr>
          <w:rFonts w:ascii="David" w:hAnsi="David" w:cs="David"/>
          <w:color w:val="000000" w:themeColor="text1"/>
          <w:rtl/>
          <w:lang w:bidi="he-IL"/>
        </w:rPr>
        <w:t>עירייה</w:t>
      </w:r>
      <w:r w:rsidRPr="00A53B8E">
        <w:rPr>
          <w:rFonts w:ascii="David" w:hAnsi="David" w:cs="David"/>
          <w:color w:val="000000" w:themeColor="text1"/>
          <w:rtl/>
        </w:rPr>
        <w:t xml:space="preserve"> </w:t>
      </w:r>
      <w:r w:rsidRPr="00A53B8E">
        <w:rPr>
          <w:rFonts w:ascii="David" w:hAnsi="David" w:cs="David"/>
          <w:color w:val="000000" w:themeColor="text1"/>
          <w:rtl/>
          <w:lang w:bidi="he-IL"/>
        </w:rPr>
        <w:t>מתפקידו.</w:t>
      </w:r>
      <w:r w:rsidRPr="00A53B8E">
        <w:rPr>
          <w:rFonts w:ascii="David" w:hAnsi="David" w:cs="David"/>
          <w:color w:val="000000" w:themeColor="text1"/>
          <w:rtl/>
        </w:rPr>
        <w:t xml:space="preserve"> </w:t>
      </w:r>
      <w:r w:rsidRPr="00A53B8E">
        <w:rPr>
          <w:rFonts w:ascii="David" w:hAnsi="David" w:cs="David"/>
          <w:color w:val="000000" w:themeColor="text1"/>
          <w:rtl/>
          <w:lang w:bidi="he-IL"/>
        </w:rPr>
        <w:t>בעניין זה</w:t>
      </w:r>
      <w:r w:rsidRPr="00A53B8E">
        <w:rPr>
          <w:rFonts w:ascii="David" w:hAnsi="David" w:cs="David"/>
          <w:color w:val="000000" w:themeColor="text1"/>
          <w:rtl/>
        </w:rPr>
        <w:t xml:space="preserve"> </w:t>
      </w:r>
      <w:r w:rsidRPr="00A53B8E">
        <w:rPr>
          <w:rFonts w:ascii="David" w:hAnsi="David" w:cs="David"/>
          <w:color w:val="000000" w:themeColor="text1"/>
          <w:rtl/>
          <w:lang w:bidi="he-IL"/>
        </w:rPr>
        <w:t>ב</w:t>
      </w:r>
      <w:r w:rsidRPr="00A53B8E">
        <w:rPr>
          <w:rFonts w:ascii="David" w:hAnsi="David" w:cs="David" w:hint="cs"/>
          <w:color w:val="000000" w:themeColor="text1"/>
          <w:rtl/>
          <w:lang w:bidi="he-IL"/>
        </w:rPr>
        <w:t>ית-המשפט</w:t>
      </w:r>
      <w:r w:rsidRPr="00A53B8E">
        <w:rPr>
          <w:rFonts w:ascii="David" w:hAnsi="David" w:cs="David"/>
          <w:color w:val="000000" w:themeColor="text1"/>
          <w:rtl/>
        </w:rPr>
        <w:t xml:space="preserve"> </w:t>
      </w:r>
      <w:r w:rsidRPr="00A53B8E">
        <w:rPr>
          <w:rFonts w:ascii="David" w:hAnsi="David" w:cs="David"/>
          <w:color w:val="000000" w:themeColor="text1"/>
          <w:rtl/>
          <w:lang w:bidi="he-IL"/>
        </w:rPr>
        <w:t>קבע, כי נוכח כתבי האישום שהוגשו נגד שני ראשי</w:t>
      </w:r>
      <w:r w:rsidRPr="00A53B8E">
        <w:rPr>
          <w:rFonts w:ascii="David" w:hAnsi="David" w:cs="David"/>
          <w:color w:val="000000" w:themeColor="text1"/>
          <w:rtl/>
        </w:rPr>
        <w:t xml:space="preserve"> </w:t>
      </w:r>
      <w:r w:rsidRPr="00A53B8E">
        <w:rPr>
          <w:rFonts w:ascii="David" w:hAnsi="David" w:cs="David"/>
          <w:color w:val="000000" w:themeColor="text1"/>
          <w:rtl/>
          <w:lang w:bidi="he-IL"/>
        </w:rPr>
        <w:t>העיריות נצרת עילית</w:t>
      </w:r>
      <w:r w:rsidRPr="00A53B8E">
        <w:rPr>
          <w:rFonts w:ascii="David" w:hAnsi="David" w:cs="David" w:hint="cs"/>
          <w:color w:val="000000" w:themeColor="text1"/>
          <w:rtl/>
          <w:lang w:bidi="he-IL"/>
        </w:rPr>
        <w:t xml:space="preserve"> (כשמה אז, היום ״נוף הגליל״)</w:t>
      </w:r>
      <w:r w:rsidRPr="00A53B8E">
        <w:rPr>
          <w:rFonts w:ascii="David" w:hAnsi="David" w:cs="David"/>
          <w:color w:val="000000" w:themeColor="text1"/>
          <w:rtl/>
          <w:lang w:bidi="he-IL"/>
        </w:rPr>
        <w:t xml:space="preserve"> ורמת-השרון, שמעון גפסו ויצחק </w:t>
      </w:r>
      <w:proofErr w:type="spellStart"/>
      <w:r w:rsidRPr="00A53B8E">
        <w:rPr>
          <w:rFonts w:ascii="David" w:hAnsi="David" w:cs="David"/>
          <w:color w:val="000000" w:themeColor="text1"/>
          <w:rtl/>
          <w:lang w:bidi="he-IL"/>
        </w:rPr>
        <w:t>רוכברגר</w:t>
      </w:r>
      <w:proofErr w:type="spellEnd"/>
      <w:r w:rsidRPr="00A53B8E">
        <w:rPr>
          <w:rFonts w:ascii="David" w:hAnsi="David" w:cs="David"/>
          <w:color w:val="000000" w:themeColor="text1"/>
          <w:rtl/>
          <w:lang w:bidi="he-IL"/>
        </w:rPr>
        <w:t xml:space="preserve"> (בהתאמה), חייבות היו מועצות הרשויות להתכנס</w:t>
      </w:r>
      <w:r w:rsidRPr="00A53B8E">
        <w:rPr>
          <w:rFonts w:ascii="David" w:hAnsi="David" w:cs="David"/>
          <w:color w:val="000000" w:themeColor="text1"/>
          <w:rtl/>
        </w:rPr>
        <w:t xml:space="preserve"> </w:t>
      </w:r>
      <w:r w:rsidRPr="00A53B8E">
        <w:rPr>
          <w:rFonts w:ascii="David" w:hAnsi="David" w:cs="David"/>
          <w:color w:val="000000" w:themeColor="text1"/>
          <w:rtl/>
          <w:lang w:bidi="he-IL"/>
        </w:rPr>
        <w:t>ולדון בעניין העברת ראשי העיריות מכהונתם</w:t>
      </w:r>
      <w:r w:rsidR="00A35377" w:rsidRPr="00A53B8E">
        <w:rPr>
          <w:rFonts w:ascii="David" w:hAnsi="David" w:cs="David" w:hint="cs"/>
          <w:color w:val="000000" w:themeColor="text1"/>
          <w:rtl/>
          <w:lang w:bidi="he-IL"/>
        </w:rPr>
        <w:t xml:space="preserve"> (</w:t>
      </w:r>
      <w:r w:rsidR="00A35377" w:rsidRPr="00A53B8E">
        <w:rPr>
          <w:rFonts w:ascii="David" w:hAnsi="David" w:cs="David" w:hint="cs"/>
          <w:b/>
          <w:bCs/>
          <w:color w:val="000000" w:themeColor="text1"/>
          <w:rtl/>
          <w:lang w:bidi="he-IL"/>
        </w:rPr>
        <w:t>ראו:</w:t>
      </w:r>
      <w:r w:rsidR="00A35377" w:rsidRPr="00A53B8E">
        <w:rPr>
          <w:rFonts w:ascii="David" w:hAnsi="David" w:cs="David" w:hint="cs"/>
          <w:color w:val="000000" w:themeColor="text1"/>
          <w:rtl/>
          <w:lang w:bidi="he-IL"/>
        </w:rPr>
        <w:t xml:space="preserve"> </w:t>
      </w:r>
      <w:r w:rsidR="00225226" w:rsidRPr="00A53B8E">
        <w:rPr>
          <w:rFonts w:ascii="David" w:hAnsi="David" w:cs="David" w:hint="cs"/>
          <w:color w:val="000000" w:themeColor="text1"/>
          <w:rtl/>
          <w:lang w:bidi="he-IL"/>
        </w:rPr>
        <w:t xml:space="preserve">בג״ץ 4921/13 ואח׳ </w:t>
      </w:r>
      <w:proofErr w:type="spellStart"/>
      <w:r w:rsidR="00225226" w:rsidRPr="00A53B8E">
        <w:rPr>
          <w:rFonts w:ascii="David" w:hAnsi="David" w:cs="David" w:hint="cs"/>
          <w:b/>
          <w:bCs/>
          <w:color w:val="000000" w:themeColor="text1"/>
          <w:rtl/>
          <w:lang w:bidi="he-IL"/>
        </w:rPr>
        <w:t>אומ״ץ</w:t>
      </w:r>
      <w:proofErr w:type="spellEnd"/>
      <w:r w:rsidR="00225226" w:rsidRPr="00A53B8E">
        <w:rPr>
          <w:rFonts w:ascii="David" w:hAnsi="David" w:cs="David" w:hint="cs"/>
          <w:b/>
          <w:bCs/>
          <w:color w:val="000000" w:themeColor="text1"/>
          <w:rtl/>
          <w:lang w:bidi="he-IL"/>
        </w:rPr>
        <w:t xml:space="preserve"> אזרחים למען מנהל תקין וצדק חברתי ואח׳</w:t>
      </w:r>
      <w:r w:rsidR="00225226" w:rsidRPr="00A53B8E">
        <w:rPr>
          <w:rFonts w:ascii="David" w:hAnsi="David" w:cs="David" w:hint="cs"/>
          <w:color w:val="000000" w:themeColor="text1"/>
          <w:rtl/>
          <w:lang w:bidi="he-IL"/>
        </w:rPr>
        <w:t xml:space="preserve"> נ׳ </w:t>
      </w:r>
      <w:r w:rsidR="00225226" w:rsidRPr="00A53B8E">
        <w:rPr>
          <w:rFonts w:ascii="David" w:hAnsi="David" w:cs="David" w:hint="cs"/>
          <w:b/>
          <w:bCs/>
          <w:color w:val="000000" w:themeColor="text1"/>
          <w:rtl/>
          <w:lang w:bidi="he-IL"/>
        </w:rPr>
        <w:t xml:space="preserve">ראש עיריית רמת השרון, יצחק </w:t>
      </w:r>
      <w:proofErr w:type="spellStart"/>
      <w:r w:rsidR="00225226" w:rsidRPr="00A53B8E">
        <w:rPr>
          <w:rFonts w:ascii="David" w:hAnsi="David" w:cs="David" w:hint="cs"/>
          <w:b/>
          <w:bCs/>
          <w:color w:val="000000" w:themeColor="text1"/>
          <w:rtl/>
          <w:lang w:bidi="he-IL"/>
        </w:rPr>
        <w:t>רוכברגר</w:t>
      </w:r>
      <w:proofErr w:type="spellEnd"/>
      <w:r w:rsidR="00225226" w:rsidRPr="00A53B8E">
        <w:rPr>
          <w:rFonts w:ascii="David" w:hAnsi="David" w:cs="David" w:hint="cs"/>
          <w:b/>
          <w:bCs/>
          <w:color w:val="000000" w:themeColor="text1"/>
          <w:rtl/>
          <w:lang w:bidi="he-IL"/>
        </w:rPr>
        <w:t xml:space="preserve"> ואח׳</w:t>
      </w:r>
      <w:r w:rsidR="003E05DA" w:rsidRPr="00A53B8E">
        <w:rPr>
          <w:rFonts w:ascii="David" w:hAnsi="David" w:cs="David" w:hint="cs"/>
          <w:color w:val="000000" w:themeColor="text1"/>
          <w:rtl/>
          <w:lang w:bidi="he-IL"/>
        </w:rPr>
        <w:t xml:space="preserve">, פ״ד </w:t>
      </w:r>
      <w:proofErr w:type="spellStart"/>
      <w:r w:rsidR="003E05DA" w:rsidRPr="00A53B8E">
        <w:rPr>
          <w:rFonts w:ascii="David" w:hAnsi="David" w:cs="David" w:hint="cs"/>
          <w:color w:val="000000" w:themeColor="text1"/>
          <w:rtl/>
          <w:lang w:bidi="he-IL"/>
        </w:rPr>
        <w:t>סו</w:t>
      </w:r>
      <w:proofErr w:type="spellEnd"/>
      <w:r w:rsidR="003E05DA" w:rsidRPr="00A53B8E">
        <w:rPr>
          <w:rFonts w:ascii="David" w:hAnsi="David" w:cs="David" w:hint="cs"/>
          <w:color w:val="000000" w:themeColor="text1"/>
          <w:rtl/>
          <w:lang w:bidi="he-IL"/>
        </w:rPr>
        <w:t>(3) 135</w:t>
      </w:r>
      <w:r w:rsidR="00A35377" w:rsidRPr="00A53B8E">
        <w:rPr>
          <w:rFonts w:ascii="David" w:hAnsi="David" w:cs="David" w:hint="cs"/>
          <w:color w:val="000000" w:themeColor="text1"/>
          <w:rtl/>
          <w:lang w:bidi="he-IL"/>
        </w:rPr>
        <w:t>)</w:t>
      </w:r>
      <w:r w:rsidR="00A35377" w:rsidRPr="00A53B8E">
        <w:rPr>
          <w:rFonts w:ascii="David" w:hAnsi="David" w:cs="David"/>
          <w:color w:val="000000" w:themeColor="text1"/>
          <w:rtl/>
          <w:lang w:bidi="he-IL"/>
        </w:rPr>
        <w:t>.</w:t>
      </w:r>
      <w:r w:rsidRPr="00A53B8E">
        <w:rPr>
          <w:rFonts w:ascii="David" w:hAnsi="David" w:cs="David"/>
          <w:color w:val="000000" w:themeColor="text1"/>
          <w:rtl/>
        </w:rPr>
        <w:t xml:space="preserve"> </w:t>
      </w:r>
      <w:r w:rsidRPr="00A53B8E">
        <w:rPr>
          <w:rFonts w:ascii="David" w:hAnsi="David" w:cs="David"/>
          <w:color w:val="000000" w:themeColor="text1"/>
          <w:rtl/>
          <w:lang w:bidi="he-IL"/>
        </w:rPr>
        <w:t>זאת</w:t>
      </w:r>
      <w:r w:rsidR="00352172" w:rsidRPr="00A53B8E">
        <w:rPr>
          <w:rFonts w:ascii="David" w:hAnsi="David" w:cs="David" w:hint="cs"/>
          <w:color w:val="000000" w:themeColor="text1"/>
          <w:rtl/>
          <w:lang w:bidi="he-IL"/>
        </w:rPr>
        <w:t>,</w:t>
      </w:r>
      <w:r w:rsidRPr="00A53B8E">
        <w:rPr>
          <w:rFonts w:ascii="David" w:hAnsi="David" w:cs="David"/>
          <w:color w:val="000000" w:themeColor="text1"/>
          <w:rtl/>
          <w:lang w:bidi="he-IL"/>
        </w:rPr>
        <w:t xml:space="preserve"> הגם</w:t>
      </w:r>
      <w:r w:rsidRPr="00A53B8E">
        <w:rPr>
          <w:rFonts w:ascii="David" w:hAnsi="David" w:cs="David"/>
          <w:color w:val="000000" w:themeColor="text1"/>
          <w:rtl/>
        </w:rPr>
        <w:t xml:space="preserve"> </w:t>
      </w:r>
      <w:r w:rsidRPr="00A53B8E">
        <w:rPr>
          <w:rFonts w:ascii="David" w:hAnsi="David" w:cs="David"/>
          <w:color w:val="000000" w:themeColor="text1"/>
          <w:rtl/>
          <w:lang w:bidi="he-IL"/>
        </w:rPr>
        <w:t>שלפי</w:t>
      </w:r>
      <w:r w:rsidRPr="00A53B8E">
        <w:rPr>
          <w:rFonts w:ascii="David" w:hAnsi="David" w:cs="David"/>
          <w:color w:val="000000" w:themeColor="text1"/>
          <w:rtl/>
        </w:rPr>
        <w:t xml:space="preserve"> </w:t>
      </w:r>
      <w:r w:rsidRPr="00A53B8E">
        <w:rPr>
          <w:rFonts w:ascii="David" w:hAnsi="David" w:cs="David"/>
          <w:color w:val="000000" w:themeColor="text1"/>
          <w:rtl/>
          <w:lang w:bidi="he-IL"/>
        </w:rPr>
        <w:t>סעיף</w:t>
      </w:r>
      <w:r w:rsidRPr="00A53B8E">
        <w:rPr>
          <w:rFonts w:ascii="David" w:hAnsi="David" w:cs="David"/>
          <w:color w:val="000000" w:themeColor="text1"/>
          <w:rtl/>
        </w:rPr>
        <w:t xml:space="preserve"> 20(</w:t>
      </w:r>
      <w:r w:rsidRPr="00A53B8E">
        <w:rPr>
          <w:rFonts w:ascii="David" w:hAnsi="David" w:cs="David"/>
          <w:color w:val="000000" w:themeColor="text1"/>
          <w:rtl/>
          <w:lang w:bidi="he-IL"/>
        </w:rPr>
        <w:t>ד</w:t>
      </w:r>
      <w:r w:rsidRPr="00A53B8E">
        <w:rPr>
          <w:rFonts w:ascii="David" w:hAnsi="David" w:cs="David"/>
          <w:color w:val="000000" w:themeColor="text1"/>
          <w:rtl/>
        </w:rPr>
        <w:t xml:space="preserve">) </w:t>
      </w:r>
      <w:r w:rsidRPr="00A53B8E">
        <w:rPr>
          <w:rFonts w:ascii="David" w:hAnsi="David" w:cs="David"/>
          <w:color w:val="000000" w:themeColor="text1"/>
          <w:rtl/>
          <w:lang w:bidi="he-IL"/>
        </w:rPr>
        <w:t xml:space="preserve">לחוק הרשויות המקומיות (בחירת ראש הרשות </w:t>
      </w:r>
      <w:proofErr w:type="spellStart"/>
      <w:r w:rsidRPr="00A53B8E">
        <w:rPr>
          <w:rFonts w:ascii="David" w:hAnsi="David" w:cs="David"/>
          <w:color w:val="000000" w:themeColor="text1"/>
          <w:rtl/>
          <w:lang w:bidi="he-IL"/>
        </w:rPr>
        <w:t>וסגניו</w:t>
      </w:r>
      <w:proofErr w:type="spellEnd"/>
      <w:r w:rsidRPr="00A53B8E">
        <w:rPr>
          <w:rFonts w:ascii="David" w:hAnsi="David" w:cs="David"/>
          <w:color w:val="000000" w:themeColor="text1"/>
          <w:rtl/>
          <w:lang w:bidi="he-IL"/>
        </w:rPr>
        <w:t xml:space="preserve"> וכהונתם)</w:t>
      </w:r>
      <w:r w:rsidR="00352172" w:rsidRPr="00A53B8E">
        <w:rPr>
          <w:rFonts w:ascii="David" w:hAnsi="David" w:cs="David" w:hint="cs"/>
          <w:color w:val="000000" w:themeColor="text1"/>
          <w:rtl/>
          <w:lang w:bidi="he-IL"/>
        </w:rPr>
        <w:t xml:space="preserve">, תשל״ה </w:t>
      </w:r>
      <w:r w:rsidR="00352172" w:rsidRPr="00A53B8E">
        <w:rPr>
          <w:rFonts w:ascii="David" w:hAnsi="David" w:cs="David"/>
          <w:color w:val="000000" w:themeColor="text1"/>
          <w:rtl/>
          <w:lang w:bidi="he-IL"/>
        </w:rPr>
        <w:t>–</w:t>
      </w:r>
      <w:r w:rsidR="00352172" w:rsidRPr="00A53B8E">
        <w:rPr>
          <w:rFonts w:ascii="David" w:hAnsi="David" w:cs="David" w:hint="cs"/>
          <w:color w:val="000000" w:themeColor="text1"/>
          <w:rtl/>
          <w:lang w:bidi="he-IL"/>
        </w:rPr>
        <w:t xml:space="preserve"> 1975</w:t>
      </w:r>
      <w:r w:rsidRPr="00A53B8E">
        <w:rPr>
          <w:rFonts w:ascii="David" w:hAnsi="David" w:cs="David"/>
          <w:color w:val="000000" w:themeColor="text1"/>
          <w:rtl/>
          <w:lang w:bidi="he-IL"/>
        </w:rPr>
        <w:t xml:space="preserve">, רק אם </w:t>
      </w:r>
      <w:r w:rsidRPr="00A53B8E">
        <w:rPr>
          <w:rStyle w:val="default"/>
          <w:rFonts w:ascii="David" w:hAnsi="David" w:cs="David"/>
          <w:color w:val="000000" w:themeColor="text1"/>
          <w:sz w:val="24"/>
          <w:szCs w:val="24"/>
          <w:rtl/>
          <w:lang w:bidi="he-IL"/>
        </w:rPr>
        <w:t>קבע</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בית-המשפט</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כי</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יש</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עם</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העבירה</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שבה</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הורשע</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ראש</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הרשות</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משום</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קלון</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יושעה</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ראש</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הרשות</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מכהונתו</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עד</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למתן</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פסק</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דין</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סופי</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בעניינו</w:t>
      </w:r>
      <w:r w:rsidR="00352172" w:rsidRPr="00A53B8E">
        <w:rPr>
          <w:rStyle w:val="default"/>
          <w:rFonts w:ascii="David" w:hAnsi="David" w:cs="David" w:hint="cs"/>
          <w:color w:val="000000" w:themeColor="text1"/>
          <w:sz w:val="24"/>
          <w:szCs w:val="24"/>
          <w:rtl/>
          <w:lang w:bidi="he-IL"/>
        </w:rPr>
        <w:t xml:space="preserve">. וכן, זאת </w:t>
      </w:r>
      <w:r w:rsidRPr="00A53B8E">
        <w:rPr>
          <w:rStyle w:val="default"/>
          <w:rFonts w:ascii="David" w:hAnsi="David" w:cs="David"/>
          <w:color w:val="000000" w:themeColor="text1"/>
          <w:sz w:val="24"/>
          <w:szCs w:val="24"/>
          <w:rtl/>
          <w:lang w:bidi="he-IL"/>
        </w:rPr>
        <w:t>הגם של</w:t>
      </w:r>
      <w:r w:rsidR="00352172" w:rsidRPr="00A53B8E">
        <w:rPr>
          <w:rStyle w:val="default"/>
          <w:rFonts w:ascii="David" w:hAnsi="David" w:cs="David" w:hint="cs"/>
          <w:color w:val="000000" w:themeColor="text1"/>
          <w:sz w:val="24"/>
          <w:szCs w:val="24"/>
          <w:rtl/>
          <w:lang w:bidi="he-IL"/>
        </w:rPr>
        <w:t xml:space="preserve">פי </w:t>
      </w:r>
      <w:r w:rsidRPr="00A53B8E">
        <w:rPr>
          <w:rStyle w:val="default"/>
          <w:rFonts w:ascii="David" w:hAnsi="David" w:cs="David"/>
          <w:color w:val="000000" w:themeColor="text1"/>
          <w:sz w:val="24"/>
          <w:szCs w:val="24"/>
          <w:rtl/>
          <w:lang w:bidi="he-IL"/>
        </w:rPr>
        <w:t>סעיף</w:t>
      </w:r>
      <w:r w:rsidRPr="00A53B8E">
        <w:rPr>
          <w:rStyle w:val="default"/>
          <w:rFonts w:ascii="David" w:hAnsi="David" w:cs="David"/>
          <w:color w:val="000000" w:themeColor="text1"/>
          <w:sz w:val="24"/>
          <w:szCs w:val="24"/>
          <w:rtl/>
        </w:rPr>
        <w:t xml:space="preserve"> 20(</w:t>
      </w:r>
      <w:r w:rsidRPr="00A53B8E">
        <w:rPr>
          <w:rStyle w:val="default"/>
          <w:rFonts w:ascii="David" w:hAnsi="David" w:cs="David"/>
          <w:color w:val="000000" w:themeColor="text1"/>
          <w:sz w:val="24"/>
          <w:szCs w:val="24"/>
          <w:rtl/>
          <w:lang w:bidi="he-IL"/>
        </w:rPr>
        <w:t>ה</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לאותו</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חוק</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כהונתו</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של</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ראש</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הרשות</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תפקע</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מיום</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שפסק</w:t>
      </w:r>
      <w:r w:rsidR="00A35377" w:rsidRPr="00A53B8E">
        <w:rPr>
          <w:rStyle w:val="default"/>
          <w:rFonts w:ascii="David" w:hAnsi="David" w:cs="David" w:hint="cs"/>
          <w:color w:val="000000" w:themeColor="text1"/>
          <w:sz w:val="24"/>
          <w:szCs w:val="24"/>
          <w:rtl/>
          <w:lang w:bidi="he-IL"/>
        </w:rPr>
        <w:t>-</w:t>
      </w:r>
      <w:r w:rsidRPr="00A53B8E">
        <w:rPr>
          <w:rStyle w:val="default"/>
          <w:rFonts w:ascii="David" w:hAnsi="David" w:cs="David"/>
          <w:color w:val="000000" w:themeColor="text1"/>
          <w:sz w:val="24"/>
          <w:szCs w:val="24"/>
          <w:rtl/>
          <w:lang w:bidi="he-IL"/>
        </w:rPr>
        <w:t>הדין</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הקובע</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כי</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יש</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בעבירה</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משום</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קלון</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נהיה</w:t>
      </w:r>
      <w:r w:rsidRPr="00A53B8E">
        <w:rPr>
          <w:rStyle w:val="default"/>
          <w:rFonts w:ascii="David" w:hAnsi="David" w:cs="David"/>
          <w:color w:val="000000" w:themeColor="text1"/>
          <w:sz w:val="24"/>
          <w:szCs w:val="24"/>
          <w:rtl/>
        </w:rPr>
        <w:t xml:space="preserve"> </w:t>
      </w:r>
      <w:r w:rsidRPr="00A53B8E">
        <w:rPr>
          <w:rStyle w:val="default"/>
          <w:rFonts w:ascii="David" w:hAnsi="David" w:cs="David"/>
          <w:color w:val="000000" w:themeColor="text1"/>
          <w:sz w:val="24"/>
          <w:szCs w:val="24"/>
          <w:rtl/>
          <w:lang w:bidi="he-IL"/>
        </w:rPr>
        <w:t>סופי</w:t>
      </w:r>
      <w:r w:rsidRPr="00A53B8E">
        <w:rPr>
          <w:rStyle w:val="default"/>
          <w:rFonts w:ascii="David" w:hAnsi="David" w:cs="David"/>
          <w:color w:val="000000" w:themeColor="text1"/>
          <w:sz w:val="24"/>
          <w:szCs w:val="24"/>
          <w:rtl/>
        </w:rPr>
        <w:t>.</w:t>
      </w:r>
      <w:r w:rsidR="00A35377" w:rsidRPr="00A53B8E">
        <w:rPr>
          <w:rStyle w:val="default"/>
          <w:rFonts w:ascii="David" w:hAnsi="David" w:cs="David" w:hint="cs"/>
          <w:color w:val="000000" w:themeColor="text1"/>
          <w:sz w:val="24"/>
          <w:szCs w:val="24"/>
          <w:rtl/>
          <w:lang w:bidi="he-IL"/>
        </w:rPr>
        <w:t xml:space="preserve"> </w:t>
      </w:r>
      <w:r w:rsidRPr="00A53B8E">
        <w:rPr>
          <w:rStyle w:val="default"/>
          <w:rFonts w:ascii="David" w:hAnsi="David" w:cs="David"/>
          <w:color w:val="000000" w:themeColor="text1"/>
          <w:sz w:val="24"/>
          <w:szCs w:val="24"/>
          <w:rtl/>
          <w:lang w:bidi="he-IL"/>
        </w:rPr>
        <w:t>ב</w:t>
      </w:r>
      <w:r w:rsidR="00A35377" w:rsidRPr="00A53B8E">
        <w:rPr>
          <w:rStyle w:val="default"/>
          <w:rFonts w:ascii="David" w:hAnsi="David" w:cs="David" w:hint="cs"/>
          <w:color w:val="000000" w:themeColor="text1"/>
          <w:sz w:val="24"/>
          <w:szCs w:val="24"/>
          <w:rtl/>
          <w:lang w:bidi="he-IL"/>
        </w:rPr>
        <w:t>ית-המשפט</w:t>
      </w:r>
      <w:r w:rsidRPr="00A53B8E">
        <w:rPr>
          <w:rStyle w:val="default"/>
          <w:rFonts w:ascii="David" w:hAnsi="David" w:cs="David"/>
          <w:color w:val="000000" w:themeColor="text1"/>
          <w:sz w:val="24"/>
          <w:szCs w:val="24"/>
          <w:rtl/>
          <w:lang w:bidi="he-IL"/>
        </w:rPr>
        <w:t xml:space="preserve"> הוסיף וקבע, כי </w:t>
      </w:r>
      <w:r w:rsidRPr="00A53B8E">
        <w:rPr>
          <w:rFonts w:ascii="David" w:hAnsi="David" w:cs="David"/>
          <w:color w:val="000000" w:themeColor="text1"/>
          <w:rtl/>
          <w:lang w:bidi="he-IL"/>
        </w:rPr>
        <w:t xml:space="preserve">החלטת מועצת העירייה </w:t>
      </w:r>
      <w:r w:rsidRPr="00A53B8E">
        <w:rPr>
          <w:rStyle w:val="default"/>
          <w:rFonts w:ascii="David" w:hAnsi="David" w:cs="David"/>
          <w:color w:val="000000" w:themeColor="text1"/>
          <w:sz w:val="24"/>
          <w:szCs w:val="24"/>
          <w:rtl/>
          <w:lang w:bidi="he-IL"/>
        </w:rPr>
        <w:t>בעניין גפסו,</w:t>
      </w:r>
      <w:r w:rsidRPr="00A53B8E">
        <w:rPr>
          <w:rFonts w:ascii="David" w:hAnsi="David" w:cs="David"/>
          <w:color w:val="000000" w:themeColor="text1"/>
          <w:rtl/>
          <w:lang w:bidi="he-IL"/>
        </w:rPr>
        <w:t xml:space="preserve"> שלא</w:t>
      </w:r>
      <w:r w:rsidRPr="00A53B8E">
        <w:rPr>
          <w:rFonts w:ascii="David" w:hAnsi="David" w:cs="David"/>
          <w:color w:val="000000" w:themeColor="text1"/>
          <w:rtl/>
        </w:rPr>
        <w:t xml:space="preserve"> </w:t>
      </w:r>
      <w:r w:rsidRPr="00A53B8E">
        <w:rPr>
          <w:rFonts w:ascii="David" w:hAnsi="David" w:cs="David"/>
          <w:color w:val="000000" w:themeColor="text1"/>
          <w:rtl/>
          <w:lang w:bidi="he-IL"/>
        </w:rPr>
        <w:t xml:space="preserve">להעביר אותו מכהונתו, ובעניין </w:t>
      </w:r>
      <w:proofErr w:type="spellStart"/>
      <w:r w:rsidRPr="00A53B8E">
        <w:rPr>
          <w:rFonts w:ascii="David" w:hAnsi="David" w:cs="David"/>
          <w:color w:val="000000" w:themeColor="text1"/>
          <w:rtl/>
          <w:lang w:bidi="he-IL"/>
        </w:rPr>
        <w:t>רוכברגר</w:t>
      </w:r>
      <w:proofErr w:type="spellEnd"/>
      <w:r w:rsidRPr="00A53B8E">
        <w:rPr>
          <w:rFonts w:ascii="David" w:hAnsi="David" w:cs="David"/>
          <w:color w:val="000000" w:themeColor="text1"/>
          <w:rtl/>
          <w:lang w:bidi="he-IL"/>
        </w:rPr>
        <w:t xml:space="preserve"> שלא להתכנס כדי להעבירו מתפקידו (שהיא כמוה כהחלטה לסרב להעביר אותו מכהונתו, אינן עולות בקנה</w:t>
      </w:r>
      <w:r w:rsidRPr="00A53B8E">
        <w:rPr>
          <w:rFonts w:ascii="David" w:hAnsi="David" w:cs="David"/>
          <w:color w:val="000000" w:themeColor="text1"/>
          <w:rtl/>
        </w:rPr>
        <w:t xml:space="preserve"> </w:t>
      </w:r>
      <w:r w:rsidRPr="00A53B8E">
        <w:rPr>
          <w:rFonts w:ascii="David" w:hAnsi="David" w:cs="David"/>
          <w:color w:val="000000" w:themeColor="text1"/>
          <w:rtl/>
          <w:lang w:bidi="he-IL"/>
        </w:rPr>
        <w:t>אחד עם עקרון השמירה על טוהר המידות ושלטון</w:t>
      </w:r>
      <w:r w:rsidRPr="00A53B8E">
        <w:rPr>
          <w:rFonts w:ascii="David" w:hAnsi="David" w:cs="David"/>
          <w:color w:val="000000" w:themeColor="text1"/>
          <w:rtl/>
        </w:rPr>
        <w:t xml:space="preserve"> </w:t>
      </w:r>
      <w:r w:rsidRPr="00A53B8E">
        <w:rPr>
          <w:rFonts w:ascii="David" w:hAnsi="David" w:cs="David"/>
          <w:color w:val="000000" w:themeColor="text1"/>
          <w:rtl/>
          <w:lang w:bidi="he-IL"/>
        </w:rPr>
        <w:t xml:space="preserve">החוק, והן לוקות בחוסר סבירות באופן קיצוני. </w:t>
      </w:r>
      <w:r w:rsidR="00352172" w:rsidRPr="00A53B8E">
        <w:rPr>
          <w:rFonts w:ascii="David" w:hAnsi="David" w:cs="David" w:hint="cs"/>
          <w:color w:val="000000" w:themeColor="text1"/>
          <w:rtl/>
          <w:lang w:bidi="he-IL"/>
        </w:rPr>
        <w:t xml:space="preserve"> </w:t>
      </w:r>
    </w:p>
    <w:p w14:paraId="3770210C" w14:textId="55704089" w:rsidR="0043309E" w:rsidRPr="00A53B8E" w:rsidRDefault="00271D42" w:rsidP="00931E87">
      <w:pPr>
        <w:pStyle w:val="a3"/>
        <w:numPr>
          <w:ilvl w:val="0"/>
          <w:numId w:val="1"/>
        </w:numPr>
        <w:bidi/>
        <w:spacing w:line="360" w:lineRule="auto"/>
        <w:jc w:val="both"/>
        <w:rPr>
          <w:rFonts w:ascii="David" w:hAnsi="David" w:cs="David"/>
          <w:color w:val="000000" w:themeColor="text1"/>
          <w:lang w:bidi="he-IL"/>
        </w:rPr>
      </w:pPr>
      <w:r w:rsidRPr="00A53B8E">
        <w:rPr>
          <w:rFonts w:ascii="David" w:hAnsi="David" w:cs="David" w:hint="cs"/>
          <w:color w:val="000000" w:themeColor="text1"/>
          <w:rtl/>
          <w:lang w:bidi="he-IL"/>
        </w:rPr>
        <w:lastRenderedPageBreak/>
        <w:t>הנה-כי-כן, אין חולק כי הסמכות של בית-הדין לפי סעיף 12(א)</w:t>
      </w:r>
      <w:r w:rsidRPr="00A53B8E">
        <w:rPr>
          <w:rFonts w:ascii="David" w:hAnsi="David" w:cs="David" w:hint="cs"/>
          <w:color w:val="000000" w:themeColor="text1"/>
          <w:lang w:bidi="he-IL"/>
        </w:rPr>
        <w:t xml:space="preserve"> </w:t>
      </w:r>
      <w:r w:rsidRPr="00A53B8E">
        <w:rPr>
          <w:rFonts w:ascii="David" w:hAnsi="David" w:cs="David" w:hint="cs"/>
          <w:color w:val="000000" w:themeColor="text1"/>
          <w:rtl/>
          <w:lang w:bidi="he-IL"/>
        </w:rPr>
        <w:t>לתקנון הינה סמכות רשות; זאת, גם כאשר בית-הדין מגיע למסקנה כי יש במעשים הפליליים המיוחסים לעיתונאי כדי לבסס קלון על מקצוע העיתונ</w:t>
      </w:r>
      <w:r w:rsidR="00C3105F">
        <w:rPr>
          <w:rFonts w:ascii="David" w:hAnsi="David" w:cs="David" w:hint="cs"/>
          <w:color w:val="000000" w:themeColor="text1"/>
          <w:rtl/>
          <w:lang w:bidi="he-IL"/>
        </w:rPr>
        <w:t>א</w:t>
      </w:r>
      <w:r w:rsidRPr="00A53B8E">
        <w:rPr>
          <w:rFonts w:ascii="David" w:hAnsi="David" w:cs="David" w:hint="cs"/>
          <w:color w:val="000000" w:themeColor="text1"/>
          <w:rtl/>
          <w:lang w:bidi="he-IL"/>
        </w:rPr>
        <w:t xml:space="preserve">ות. עם זאת, </w:t>
      </w:r>
      <w:r w:rsidR="000136A2" w:rsidRPr="00A53B8E">
        <w:rPr>
          <w:rFonts w:ascii="David" w:hAnsi="David" w:cs="David" w:hint="cs"/>
          <w:color w:val="000000" w:themeColor="text1"/>
          <w:rtl/>
          <w:lang w:bidi="he-IL"/>
        </w:rPr>
        <w:t xml:space="preserve">בהחלט </w:t>
      </w:r>
      <w:r w:rsidRPr="00A53B8E">
        <w:rPr>
          <w:rFonts w:ascii="David" w:hAnsi="David" w:cs="David" w:hint="cs"/>
          <w:color w:val="000000" w:themeColor="text1"/>
          <w:rtl/>
          <w:lang w:bidi="he-IL"/>
        </w:rPr>
        <w:t>ישנם מקרים בהם סמכות זו הופ</w:t>
      </w:r>
      <w:r w:rsidR="000136A2" w:rsidRPr="00A53B8E">
        <w:rPr>
          <w:rFonts w:ascii="David" w:hAnsi="David" w:cs="David" w:hint="cs"/>
          <w:color w:val="000000" w:themeColor="text1"/>
          <w:rtl/>
          <w:lang w:bidi="he-IL"/>
        </w:rPr>
        <w:t>כ</w:t>
      </w:r>
      <w:r w:rsidRPr="00A53B8E">
        <w:rPr>
          <w:rFonts w:ascii="David" w:hAnsi="David" w:cs="David" w:hint="cs"/>
          <w:color w:val="000000" w:themeColor="text1"/>
          <w:rtl/>
          <w:lang w:bidi="he-IL"/>
        </w:rPr>
        <w:t>ת לסמכות חובה</w:t>
      </w:r>
      <w:r w:rsidR="000136A2" w:rsidRPr="00A53B8E">
        <w:rPr>
          <w:rFonts w:ascii="David" w:hAnsi="David" w:cs="David" w:hint="cs"/>
          <w:color w:val="000000" w:themeColor="text1"/>
          <w:rtl/>
          <w:lang w:bidi="he-IL"/>
        </w:rPr>
        <w:t>, במיוחד כאשר עניין לנו במעשים פליליים הפוגעים בעקרונות היסוד של מקצוע העיתונ</w:t>
      </w:r>
      <w:r w:rsidR="00C3105F">
        <w:rPr>
          <w:rFonts w:ascii="David" w:hAnsi="David" w:cs="David" w:hint="cs"/>
          <w:color w:val="000000" w:themeColor="text1"/>
          <w:rtl/>
          <w:lang w:bidi="he-IL"/>
        </w:rPr>
        <w:t>א</w:t>
      </w:r>
      <w:r w:rsidR="000136A2" w:rsidRPr="00A53B8E">
        <w:rPr>
          <w:rFonts w:ascii="David" w:hAnsi="David" w:cs="David" w:hint="cs"/>
          <w:color w:val="000000" w:themeColor="text1"/>
          <w:rtl/>
          <w:lang w:bidi="he-IL"/>
        </w:rPr>
        <w:t>ות הנוגעים ליושרה העיתונאית.</w:t>
      </w:r>
      <w:r w:rsidRPr="00A53B8E">
        <w:rPr>
          <w:rFonts w:ascii="David" w:hAnsi="David" w:cs="David" w:hint="cs"/>
          <w:color w:val="000000" w:themeColor="text1"/>
          <w:rtl/>
          <w:lang w:bidi="he-IL"/>
        </w:rPr>
        <w:t xml:space="preserve"> </w:t>
      </w:r>
      <w:r w:rsidR="000136A2" w:rsidRPr="00A53B8E">
        <w:rPr>
          <w:rFonts w:ascii="David" w:hAnsi="David" w:cs="David" w:hint="cs"/>
          <w:color w:val="000000" w:themeColor="text1"/>
          <w:rtl/>
          <w:lang w:bidi="he-IL"/>
        </w:rPr>
        <w:t xml:space="preserve"> </w:t>
      </w:r>
      <w:r w:rsidR="00D35F7A" w:rsidRPr="00A53B8E">
        <w:rPr>
          <w:rFonts w:ascii="David" w:hAnsi="David" w:cs="David" w:hint="cs"/>
          <w:color w:val="000000" w:themeColor="text1"/>
          <w:rtl/>
          <w:lang w:bidi="he-IL"/>
        </w:rPr>
        <w:t xml:space="preserve"> </w:t>
      </w:r>
      <w:r w:rsidRPr="00A53B8E">
        <w:rPr>
          <w:rFonts w:ascii="David" w:hAnsi="David" w:cs="David" w:hint="cs"/>
          <w:color w:val="000000" w:themeColor="text1"/>
          <w:rtl/>
          <w:lang w:bidi="he-IL"/>
        </w:rPr>
        <w:t xml:space="preserve">אמנם, מועצת העיתונות והתקשורת בישראל, לרבות בית-הדין, </w:t>
      </w:r>
      <w:r w:rsidR="00931E87" w:rsidRPr="00A53B8E">
        <w:rPr>
          <w:rFonts w:ascii="David" w:hAnsi="David" w:cs="David" w:hint="cs"/>
          <w:color w:val="000000" w:themeColor="text1"/>
          <w:rtl/>
          <w:lang w:bidi="he-IL"/>
        </w:rPr>
        <w:t>אינ</w:t>
      </w:r>
      <w:r w:rsidR="00931E87">
        <w:rPr>
          <w:rFonts w:ascii="David" w:hAnsi="David" w:cs="David" w:hint="cs"/>
          <w:color w:val="000000" w:themeColor="text1"/>
          <w:rtl/>
          <w:lang w:bidi="he-IL"/>
        </w:rPr>
        <w:t>ה</w:t>
      </w:r>
      <w:r w:rsidR="00931E87" w:rsidRPr="00A53B8E">
        <w:rPr>
          <w:rFonts w:ascii="David" w:hAnsi="David" w:cs="David" w:hint="cs"/>
          <w:color w:val="000000" w:themeColor="text1"/>
          <w:rtl/>
          <w:lang w:bidi="he-IL"/>
        </w:rPr>
        <w:t xml:space="preserve"> </w:t>
      </w:r>
      <w:r w:rsidRPr="00A53B8E">
        <w:rPr>
          <w:rFonts w:ascii="David" w:hAnsi="David" w:cs="David" w:hint="cs"/>
          <w:color w:val="000000" w:themeColor="text1"/>
          <w:rtl/>
          <w:lang w:bidi="he-IL"/>
        </w:rPr>
        <w:t>גוף ציבורי במובנו הקלאסי של הביטוי</w:t>
      </w:r>
      <w:r w:rsidR="00D35F7A" w:rsidRPr="00A53B8E">
        <w:rPr>
          <w:rFonts w:ascii="David" w:hAnsi="David" w:cs="David" w:hint="cs"/>
          <w:color w:val="000000" w:themeColor="text1"/>
          <w:rtl/>
          <w:lang w:bidi="he-IL"/>
        </w:rPr>
        <w:t xml:space="preserve"> המשפטי</w:t>
      </w:r>
      <w:r w:rsidRPr="00A53B8E">
        <w:rPr>
          <w:rFonts w:ascii="David" w:hAnsi="David" w:cs="David" w:hint="cs"/>
          <w:color w:val="000000" w:themeColor="text1"/>
          <w:rtl/>
          <w:lang w:bidi="he-IL"/>
        </w:rPr>
        <w:t xml:space="preserve">, ומכל מקום עיתונאים אינם נבחרי ציבור. עם זאת, </w:t>
      </w:r>
      <w:r w:rsidR="00E52199" w:rsidRPr="00A53B8E">
        <w:rPr>
          <w:rFonts w:ascii="David" w:hAnsi="David" w:cs="David" w:hint="cs"/>
          <w:color w:val="000000" w:themeColor="text1"/>
          <w:rtl/>
          <w:lang w:bidi="he-IL"/>
        </w:rPr>
        <w:t xml:space="preserve">ביסוד </w:t>
      </w:r>
      <w:r w:rsidRPr="00A53B8E">
        <w:rPr>
          <w:rFonts w:ascii="David" w:hAnsi="David" w:cs="David" w:hint="cs"/>
          <w:color w:val="000000" w:themeColor="text1"/>
          <w:rtl/>
          <w:lang w:bidi="he-IL"/>
        </w:rPr>
        <w:t xml:space="preserve">ההלכות שנקבעו בעניין נבחרי ציבור </w:t>
      </w:r>
      <w:r w:rsidR="00E52199" w:rsidRPr="00A53B8E">
        <w:rPr>
          <w:rFonts w:ascii="David" w:hAnsi="David" w:cs="David" w:hint="cs"/>
          <w:color w:val="000000" w:themeColor="text1"/>
          <w:rtl/>
          <w:lang w:bidi="he-IL"/>
        </w:rPr>
        <w:t>מונח</w:t>
      </w:r>
      <w:r w:rsidR="00A35377" w:rsidRPr="00A53B8E">
        <w:rPr>
          <w:rFonts w:ascii="David" w:hAnsi="David" w:cs="David" w:hint="cs"/>
          <w:color w:val="000000" w:themeColor="text1"/>
          <w:rtl/>
          <w:lang w:bidi="he-IL"/>
        </w:rPr>
        <w:t xml:space="preserve"> </w:t>
      </w:r>
      <w:r w:rsidR="00E84DA7" w:rsidRPr="00A53B8E">
        <w:rPr>
          <w:rFonts w:ascii="David" w:hAnsi="David" w:cs="David" w:hint="cs"/>
          <w:color w:val="000000" w:themeColor="text1"/>
          <w:rtl/>
          <w:lang w:bidi="he-IL"/>
        </w:rPr>
        <w:t xml:space="preserve">הרעיון </w:t>
      </w:r>
      <w:r w:rsidR="007B58E1" w:rsidRPr="00A53B8E">
        <w:rPr>
          <w:rFonts w:ascii="David" w:hAnsi="David" w:cs="David" w:hint="cs"/>
          <w:color w:val="000000" w:themeColor="text1"/>
          <w:rtl/>
          <w:lang w:bidi="he-IL"/>
        </w:rPr>
        <w:t xml:space="preserve">בדבר אמון הציבור וחשיבותו. אמון זה של הציבור אינו נחלתם של נבחרי הציבור בלבד, כי אם גם </w:t>
      </w:r>
      <w:r w:rsidR="00931E87" w:rsidRPr="00A53B8E">
        <w:rPr>
          <w:rFonts w:ascii="David" w:hAnsi="David" w:cs="David" w:hint="cs"/>
          <w:color w:val="000000" w:themeColor="text1"/>
          <w:rtl/>
          <w:lang w:bidi="he-IL"/>
        </w:rPr>
        <w:t>רל</w:t>
      </w:r>
      <w:r w:rsidR="00931E87">
        <w:rPr>
          <w:rFonts w:ascii="David" w:hAnsi="David" w:cs="David" w:hint="cs"/>
          <w:color w:val="000000" w:themeColor="text1"/>
          <w:rtl/>
          <w:lang w:bidi="he-IL"/>
        </w:rPr>
        <w:t>וו</w:t>
      </w:r>
      <w:r w:rsidR="00931E87" w:rsidRPr="00A53B8E">
        <w:rPr>
          <w:rFonts w:ascii="David" w:hAnsi="David" w:cs="David" w:hint="cs"/>
          <w:color w:val="000000" w:themeColor="text1"/>
          <w:rtl/>
          <w:lang w:bidi="he-IL"/>
        </w:rPr>
        <w:t xml:space="preserve">נטי </w:t>
      </w:r>
      <w:r w:rsidR="00D35F7A" w:rsidRPr="00A53B8E">
        <w:rPr>
          <w:rFonts w:ascii="David" w:hAnsi="David" w:cs="David" w:hint="cs"/>
          <w:color w:val="000000" w:themeColor="text1"/>
          <w:rtl/>
          <w:lang w:bidi="he-IL"/>
        </w:rPr>
        <w:t>ל</w:t>
      </w:r>
      <w:r w:rsidR="007B58E1" w:rsidRPr="00A53B8E">
        <w:rPr>
          <w:rFonts w:ascii="David" w:hAnsi="David" w:cs="David" w:hint="cs"/>
          <w:color w:val="000000" w:themeColor="text1"/>
          <w:rtl/>
          <w:lang w:bidi="he-IL"/>
        </w:rPr>
        <w:t>גופים וולונטריים בדמות מועצת העיתונות והתקשורת בישראל, על שלל מוסדותיה, שכאמור חרט</w:t>
      </w:r>
      <w:r w:rsidR="00931E87">
        <w:rPr>
          <w:rFonts w:ascii="David" w:hAnsi="David" w:cs="David" w:hint="cs"/>
          <w:color w:val="000000" w:themeColor="text1"/>
          <w:rtl/>
          <w:lang w:bidi="he-IL"/>
        </w:rPr>
        <w:t>ה</w:t>
      </w:r>
      <w:r w:rsidR="007B58E1" w:rsidRPr="00A53B8E">
        <w:rPr>
          <w:rFonts w:ascii="David" w:hAnsi="David" w:cs="David" w:hint="cs"/>
          <w:color w:val="000000" w:themeColor="text1"/>
          <w:rtl/>
          <w:lang w:bidi="he-IL"/>
        </w:rPr>
        <w:t xml:space="preserve"> על דגל</w:t>
      </w:r>
      <w:r w:rsidR="00D35F7A" w:rsidRPr="00A53B8E">
        <w:rPr>
          <w:rFonts w:ascii="David" w:hAnsi="David" w:cs="David" w:hint="cs"/>
          <w:color w:val="000000" w:themeColor="text1"/>
          <w:rtl/>
          <w:lang w:bidi="he-IL"/>
        </w:rPr>
        <w:t>ה</w:t>
      </w:r>
      <w:r w:rsidR="007B58E1" w:rsidRPr="00A53B8E">
        <w:rPr>
          <w:rFonts w:ascii="David" w:hAnsi="David" w:cs="David" w:hint="cs"/>
          <w:color w:val="000000" w:themeColor="text1"/>
          <w:rtl/>
          <w:lang w:bidi="he-IL"/>
        </w:rPr>
        <w:t xml:space="preserve"> לאכוף</w:t>
      </w:r>
      <w:r w:rsidR="00D35F7A" w:rsidRPr="00A53B8E">
        <w:rPr>
          <w:rFonts w:ascii="David" w:hAnsi="David" w:cs="David" w:hint="cs"/>
          <w:color w:val="000000" w:themeColor="text1"/>
          <w:rtl/>
          <w:lang w:bidi="he-IL"/>
        </w:rPr>
        <w:t>, באמצעות בית-הדין,</w:t>
      </w:r>
      <w:r w:rsidR="007B58E1" w:rsidRPr="00A53B8E">
        <w:rPr>
          <w:rFonts w:ascii="David" w:hAnsi="David" w:cs="David" w:hint="cs"/>
          <w:color w:val="000000" w:themeColor="text1"/>
          <w:rtl/>
          <w:lang w:bidi="he-IL"/>
        </w:rPr>
        <w:t xml:space="preserve"> נורמות אתיות ביחס למקצוע העיתונ</w:t>
      </w:r>
      <w:r w:rsidR="00931E87">
        <w:rPr>
          <w:rFonts w:ascii="David" w:hAnsi="David" w:cs="David" w:hint="cs"/>
          <w:color w:val="000000" w:themeColor="text1"/>
          <w:rtl/>
          <w:lang w:bidi="he-IL"/>
        </w:rPr>
        <w:t>א</w:t>
      </w:r>
      <w:r w:rsidR="007B58E1" w:rsidRPr="00A53B8E">
        <w:rPr>
          <w:rFonts w:ascii="David" w:hAnsi="David" w:cs="David" w:hint="cs"/>
          <w:color w:val="000000" w:themeColor="text1"/>
          <w:rtl/>
          <w:lang w:bidi="he-IL"/>
        </w:rPr>
        <w:t>ות. הקפדה על הרמה האתית של העוסקים במקצוע העיתונ</w:t>
      </w:r>
      <w:r w:rsidR="00931E87">
        <w:rPr>
          <w:rFonts w:ascii="David" w:hAnsi="David" w:cs="David" w:hint="cs"/>
          <w:color w:val="000000" w:themeColor="text1"/>
          <w:rtl/>
          <w:lang w:bidi="he-IL"/>
        </w:rPr>
        <w:t>א</w:t>
      </w:r>
      <w:r w:rsidR="007B58E1" w:rsidRPr="00A53B8E">
        <w:rPr>
          <w:rFonts w:ascii="David" w:hAnsi="David" w:cs="David" w:hint="cs"/>
          <w:color w:val="000000" w:themeColor="text1"/>
          <w:rtl/>
          <w:lang w:bidi="he-IL"/>
        </w:rPr>
        <w:t>ות חשובה ביותר, דווקא בעידן המודרני של המאה ה-21</w:t>
      </w:r>
      <w:r w:rsidR="00F6325B" w:rsidRPr="00A53B8E">
        <w:rPr>
          <w:rFonts w:ascii="David" w:hAnsi="David" w:cs="David" w:hint="cs"/>
          <w:color w:val="000000" w:themeColor="text1"/>
          <w:rtl/>
          <w:lang w:bidi="he-IL"/>
        </w:rPr>
        <w:t xml:space="preserve">, </w:t>
      </w:r>
      <w:r w:rsidR="00931E87">
        <w:rPr>
          <w:rFonts w:ascii="David" w:hAnsi="David" w:cs="David" w:hint="cs"/>
          <w:color w:val="000000" w:themeColor="text1"/>
          <w:rtl/>
          <w:lang w:bidi="he-IL"/>
        </w:rPr>
        <w:t>ש</w:t>
      </w:r>
      <w:r w:rsidR="00F6325B" w:rsidRPr="00A53B8E">
        <w:rPr>
          <w:rFonts w:ascii="David" w:hAnsi="David" w:cs="David" w:hint="cs"/>
          <w:color w:val="000000" w:themeColor="text1"/>
          <w:rtl/>
          <w:lang w:bidi="he-IL"/>
        </w:rPr>
        <w:t xml:space="preserve">בו התקשורת </w:t>
      </w:r>
      <w:r w:rsidR="00931E87">
        <w:rPr>
          <w:rFonts w:ascii="David" w:hAnsi="David" w:cs="David" w:hint="cs"/>
          <w:color w:val="000000" w:themeColor="text1"/>
          <w:rtl/>
          <w:lang w:bidi="he-IL"/>
        </w:rPr>
        <w:t>ממלאת</w:t>
      </w:r>
      <w:r w:rsidR="00931E87" w:rsidRPr="00A53B8E">
        <w:rPr>
          <w:rFonts w:ascii="David" w:hAnsi="David" w:cs="David" w:hint="cs"/>
          <w:color w:val="000000" w:themeColor="text1"/>
          <w:rtl/>
          <w:lang w:bidi="he-IL"/>
        </w:rPr>
        <w:t xml:space="preserve"> </w:t>
      </w:r>
      <w:r w:rsidR="00F6325B" w:rsidRPr="00A53B8E">
        <w:rPr>
          <w:rFonts w:ascii="David" w:hAnsi="David" w:cs="David" w:hint="cs"/>
          <w:color w:val="000000" w:themeColor="text1"/>
          <w:rtl/>
          <w:lang w:bidi="he-IL"/>
        </w:rPr>
        <w:t xml:space="preserve">תפקיד </w:t>
      </w:r>
      <w:r w:rsidR="002A3ACA">
        <w:rPr>
          <w:rFonts w:ascii="David" w:hAnsi="David" w:cs="David" w:hint="cs"/>
          <w:color w:val="000000" w:themeColor="text1"/>
          <w:rtl/>
          <w:lang w:bidi="he-IL"/>
        </w:rPr>
        <w:t>בעל חשיבות רבה מאוד</w:t>
      </w:r>
      <w:r w:rsidR="00F6325B" w:rsidRPr="00A53B8E">
        <w:rPr>
          <w:rFonts w:ascii="David" w:hAnsi="David" w:cs="David" w:hint="cs"/>
          <w:color w:val="000000" w:themeColor="text1"/>
          <w:rtl/>
          <w:lang w:bidi="he-IL"/>
        </w:rPr>
        <w:t xml:space="preserve"> בעיצוב דעת הקהל. זאת, כאשר המושגים ״כלי תקשורת״ </w:t>
      </w:r>
      <w:proofErr w:type="spellStart"/>
      <w:r w:rsidR="00F6325B" w:rsidRPr="00A53B8E">
        <w:rPr>
          <w:rFonts w:ascii="David" w:hAnsi="David" w:cs="David" w:hint="cs"/>
          <w:color w:val="000000" w:themeColor="text1"/>
          <w:rtl/>
          <w:lang w:bidi="he-IL"/>
        </w:rPr>
        <w:t>ו״עיתונאי</w:t>
      </w:r>
      <w:proofErr w:type="spellEnd"/>
      <w:r w:rsidR="00F6325B" w:rsidRPr="00A53B8E">
        <w:rPr>
          <w:rFonts w:ascii="David" w:hAnsi="David" w:cs="David" w:hint="cs"/>
          <w:color w:val="000000" w:themeColor="text1"/>
          <w:rtl/>
          <w:lang w:bidi="he-IL"/>
        </w:rPr>
        <w:t xml:space="preserve">״ לא רק שלא זכו </w:t>
      </w:r>
      <w:r w:rsidR="00F6325B" w:rsidRPr="00A53B8E">
        <w:rPr>
          <w:rFonts w:ascii="David" w:hAnsi="David" w:cs="David"/>
          <w:color w:val="000000" w:themeColor="text1"/>
          <w:rtl/>
          <w:lang w:bidi="he-IL"/>
        </w:rPr>
        <w:t>–</w:t>
      </w:r>
      <w:r w:rsidR="00F6325B" w:rsidRPr="00A53B8E">
        <w:rPr>
          <w:rFonts w:ascii="David" w:hAnsi="David" w:cs="David" w:hint="cs"/>
          <w:color w:val="000000" w:themeColor="text1"/>
          <w:rtl/>
          <w:lang w:bidi="he-IL"/>
        </w:rPr>
        <w:t xml:space="preserve"> ואולי במידה רבה של צדק </w:t>
      </w:r>
      <w:r w:rsidR="00F6325B" w:rsidRPr="00A53B8E">
        <w:rPr>
          <w:rFonts w:ascii="David" w:hAnsi="David" w:cs="David"/>
          <w:color w:val="000000" w:themeColor="text1"/>
          <w:rtl/>
          <w:lang w:bidi="he-IL"/>
        </w:rPr>
        <w:t>–</w:t>
      </w:r>
      <w:r w:rsidR="00F6325B" w:rsidRPr="00A53B8E">
        <w:rPr>
          <w:rFonts w:ascii="David" w:hAnsi="David" w:cs="David" w:hint="cs"/>
          <w:color w:val="000000" w:themeColor="text1"/>
          <w:rtl/>
          <w:lang w:bidi="he-IL"/>
        </w:rPr>
        <w:t xml:space="preserve"> להגדרה דווקנית כלשהי.</w:t>
      </w:r>
      <w:r w:rsidR="00C61D87" w:rsidRPr="00A53B8E">
        <w:rPr>
          <w:rFonts w:ascii="David" w:hAnsi="David" w:cs="David" w:hint="cs"/>
          <w:color w:val="000000" w:themeColor="text1"/>
          <w:rtl/>
          <w:lang w:bidi="he-IL"/>
        </w:rPr>
        <w:t xml:space="preserve"> בהינתן כל אלה, הקפדה על אמות המידה האתיות של מקצוע העיתונ</w:t>
      </w:r>
      <w:r w:rsidR="00931E87">
        <w:rPr>
          <w:rFonts w:ascii="David" w:hAnsi="David" w:cs="David" w:hint="cs"/>
          <w:color w:val="000000" w:themeColor="text1"/>
          <w:rtl/>
          <w:lang w:bidi="he-IL"/>
        </w:rPr>
        <w:t>א</w:t>
      </w:r>
      <w:r w:rsidR="00C61D87" w:rsidRPr="00A53B8E">
        <w:rPr>
          <w:rFonts w:ascii="David" w:hAnsi="David" w:cs="David" w:hint="cs"/>
          <w:color w:val="000000" w:themeColor="text1"/>
          <w:rtl/>
          <w:lang w:bidi="he-IL"/>
        </w:rPr>
        <w:t>ות, כפי שאלה באים לידי ביטוי בתקנון האתיקה, מכוננת את עצם הלגיטימציה לעיסוק</w:t>
      </w:r>
      <w:r w:rsidR="00C66C7B" w:rsidRPr="00A53B8E">
        <w:rPr>
          <w:rFonts w:ascii="David" w:hAnsi="David" w:cs="David" w:hint="cs"/>
          <w:color w:val="000000" w:themeColor="text1"/>
          <w:rtl/>
          <w:lang w:bidi="he-IL"/>
        </w:rPr>
        <w:t xml:space="preserve"> במקצוע העיתונ</w:t>
      </w:r>
      <w:r w:rsidR="00931E87">
        <w:rPr>
          <w:rFonts w:ascii="David" w:hAnsi="David" w:cs="David" w:hint="cs"/>
          <w:color w:val="000000" w:themeColor="text1"/>
          <w:rtl/>
          <w:lang w:bidi="he-IL"/>
        </w:rPr>
        <w:t>א</w:t>
      </w:r>
      <w:r w:rsidR="00C66C7B" w:rsidRPr="00A53B8E">
        <w:rPr>
          <w:rFonts w:ascii="David" w:hAnsi="David" w:cs="David" w:hint="cs"/>
          <w:color w:val="000000" w:themeColor="text1"/>
          <w:rtl/>
          <w:lang w:bidi="he-IL"/>
        </w:rPr>
        <w:t>ות.</w:t>
      </w:r>
    </w:p>
    <w:p w14:paraId="48AF2E12" w14:textId="1C227119" w:rsidR="00584108" w:rsidRPr="00A53B8E" w:rsidRDefault="00C61D87" w:rsidP="00931E87">
      <w:pPr>
        <w:pStyle w:val="a3"/>
        <w:numPr>
          <w:ilvl w:val="0"/>
          <w:numId w:val="1"/>
        </w:numPr>
        <w:bidi/>
        <w:spacing w:line="360" w:lineRule="auto"/>
        <w:jc w:val="both"/>
        <w:rPr>
          <w:rFonts w:ascii="David" w:hAnsi="David" w:cs="David"/>
          <w:color w:val="000000" w:themeColor="text1"/>
          <w:lang w:bidi="he-IL"/>
        </w:rPr>
      </w:pPr>
      <w:r w:rsidRPr="00A53B8E">
        <w:rPr>
          <w:rFonts w:ascii="David" w:hAnsi="David" w:cs="David" w:hint="cs"/>
          <w:color w:val="000000" w:themeColor="text1"/>
          <w:rtl/>
          <w:lang w:bidi="he-IL"/>
        </w:rPr>
        <w:t xml:space="preserve">הנה אפוא לתקשורת ולעיתונות בעידן המודרני יש </w:t>
      </w:r>
      <w:proofErr w:type="spellStart"/>
      <w:r w:rsidRPr="00A53B8E">
        <w:rPr>
          <w:rFonts w:ascii="David" w:hAnsi="David" w:cs="David" w:hint="cs"/>
          <w:color w:val="000000" w:themeColor="text1"/>
          <w:rtl/>
          <w:lang w:bidi="he-IL"/>
        </w:rPr>
        <w:t>כח</w:t>
      </w:r>
      <w:proofErr w:type="spellEnd"/>
      <w:r w:rsidRPr="00A53B8E">
        <w:rPr>
          <w:rFonts w:ascii="David" w:hAnsi="David" w:cs="David" w:hint="cs"/>
          <w:color w:val="000000" w:themeColor="text1"/>
          <w:rtl/>
          <w:lang w:bidi="he-IL"/>
        </w:rPr>
        <w:t xml:space="preserve"> </w:t>
      </w:r>
      <w:r w:rsidR="00931E87">
        <w:rPr>
          <w:rFonts w:ascii="David" w:hAnsi="David" w:cs="David" w:hint="cs"/>
          <w:color w:val="000000" w:themeColor="text1"/>
          <w:rtl/>
          <w:lang w:bidi="he-IL"/>
        </w:rPr>
        <w:t>רב</w:t>
      </w:r>
      <w:r w:rsidR="00931E87" w:rsidRPr="00A53B8E">
        <w:rPr>
          <w:rFonts w:ascii="David" w:hAnsi="David" w:cs="David" w:hint="cs"/>
          <w:color w:val="000000" w:themeColor="text1"/>
          <w:rtl/>
          <w:lang w:bidi="he-IL"/>
        </w:rPr>
        <w:t xml:space="preserve"> </w:t>
      </w:r>
      <w:r w:rsidRPr="00A53B8E">
        <w:rPr>
          <w:rFonts w:ascii="David" w:hAnsi="David" w:cs="David" w:hint="cs"/>
          <w:color w:val="000000" w:themeColor="text1"/>
          <w:rtl/>
          <w:lang w:bidi="he-IL"/>
        </w:rPr>
        <w:t xml:space="preserve">בהשפעה על הציבור ועל דעת הקהל. החשש מפני שימוש לרעה </w:t>
      </w:r>
      <w:proofErr w:type="spellStart"/>
      <w:r w:rsidRPr="00A53B8E">
        <w:rPr>
          <w:rFonts w:ascii="David" w:hAnsi="David" w:cs="David" w:hint="cs"/>
          <w:color w:val="000000" w:themeColor="text1"/>
          <w:rtl/>
          <w:lang w:bidi="he-IL"/>
        </w:rPr>
        <w:t>בכח</w:t>
      </w:r>
      <w:proofErr w:type="spellEnd"/>
      <w:r w:rsidRPr="00A53B8E">
        <w:rPr>
          <w:rFonts w:ascii="David" w:hAnsi="David" w:cs="David" w:hint="cs"/>
          <w:color w:val="000000" w:themeColor="text1"/>
          <w:rtl/>
          <w:lang w:bidi="he-IL"/>
        </w:rPr>
        <w:t xml:space="preserve"> זה</w:t>
      </w:r>
      <w:r w:rsidR="00F26615" w:rsidRPr="00A53B8E">
        <w:rPr>
          <w:rFonts w:ascii="David" w:hAnsi="David" w:cs="David" w:hint="cs"/>
          <w:color w:val="000000" w:themeColor="text1"/>
          <w:rtl/>
          <w:lang w:bidi="he-IL"/>
        </w:rPr>
        <w:t>,</w:t>
      </w:r>
      <w:r w:rsidRPr="00A53B8E">
        <w:rPr>
          <w:rFonts w:ascii="David" w:hAnsi="David" w:cs="David" w:hint="cs"/>
          <w:color w:val="000000" w:themeColor="text1"/>
          <w:rtl/>
          <w:lang w:bidi="he-IL"/>
        </w:rPr>
        <w:t xml:space="preserve"> במיוחד כאשר מדובר בשילוב של מעשים פליליים הנוגעים לעבירת השוחד</w:t>
      </w:r>
      <w:r w:rsidR="00F26615" w:rsidRPr="00A53B8E">
        <w:rPr>
          <w:rFonts w:ascii="David" w:hAnsi="David" w:cs="David" w:hint="cs"/>
          <w:color w:val="000000" w:themeColor="text1"/>
          <w:rtl/>
          <w:lang w:bidi="he-IL"/>
        </w:rPr>
        <w:t>,</w:t>
      </w:r>
      <w:r w:rsidR="0043309E" w:rsidRPr="00A53B8E">
        <w:rPr>
          <w:rFonts w:ascii="David" w:hAnsi="David" w:cs="David" w:hint="cs"/>
          <w:color w:val="000000" w:themeColor="text1"/>
          <w:rtl/>
          <w:lang w:bidi="he-IL"/>
        </w:rPr>
        <w:t xml:space="preserve"> הוא גם חשש לפגיעה באימון הציבור. </w:t>
      </w:r>
      <w:r w:rsidR="00A27281" w:rsidRPr="00A53B8E">
        <w:rPr>
          <w:rFonts w:ascii="David" w:hAnsi="David" w:cs="David" w:hint="cs"/>
          <w:color w:val="000000" w:themeColor="text1"/>
          <w:rtl/>
          <w:lang w:bidi="he-IL"/>
        </w:rPr>
        <w:t>אומנם</w:t>
      </w:r>
      <w:r w:rsidR="00F26615" w:rsidRPr="00A53B8E">
        <w:rPr>
          <w:rFonts w:ascii="David" w:hAnsi="David" w:cs="David" w:hint="cs"/>
          <w:color w:val="000000" w:themeColor="text1"/>
          <w:rtl/>
          <w:lang w:bidi="he-IL"/>
        </w:rPr>
        <w:t>,</w:t>
      </w:r>
      <w:r w:rsidR="00A27281" w:rsidRPr="00A53B8E">
        <w:rPr>
          <w:rFonts w:ascii="David" w:hAnsi="David" w:cs="David" w:hint="cs"/>
          <w:color w:val="000000" w:themeColor="text1"/>
          <w:rtl/>
          <w:lang w:bidi="he-IL"/>
        </w:rPr>
        <w:t xml:space="preserve"> </w:t>
      </w:r>
      <w:r w:rsidR="00F26615" w:rsidRPr="00A53B8E">
        <w:rPr>
          <w:rFonts w:ascii="David" w:hAnsi="David" w:cs="David" w:hint="cs"/>
          <w:color w:val="000000" w:themeColor="text1"/>
          <w:rtl/>
          <w:lang w:bidi="he-IL"/>
        </w:rPr>
        <w:t>עיקר ב</w:t>
      </w:r>
      <w:r w:rsidR="00A27281" w:rsidRPr="00A53B8E">
        <w:rPr>
          <w:rFonts w:ascii="David" w:hAnsi="David" w:cs="David" w:hint="cs"/>
          <w:color w:val="000000" w:themeColor="text1"/>
          <w:rtl/>
          <w:lang w:bidi="he-IL"/>
        </w:rPr>
        <w:t xml:space="preserve">ערך המוגן </w:t>
      </w:r>
      <w:r w:rsidR="008A10CD" w:rsidRPr="00A53B8E">
        <w:rPr>
          <w:rFonts w:ascii="David" w:hAnsi="David" w:cs="David" w:hint="cs"/>
          <w:color w:val="000000" w:themeColor="text1"/>
          <w:rtl/>
          <w:lang w:bidi="he-IL"/>
        </w:rPr>
        <w:t xml:space="preserve">באמצעות עבירת השוחד </w:t>
      </w:r>
      <w:r w:rsidR="00F26615" w:rsidRPr="00A53B8E">
        <w:rPr>
          <w:rFonts w:ascii="David" w:hAnsi="David" w:cs="David" w:hint="cs"/>
          <w:color w:val="000000" w:themeColor="text1"/>
          <w:rtl/>
          <w:lang w:bidi="he-IL"/>
        </w:rPr>
        <w:t>הוא</w:t>
      </w:r>
      <w:r w:rsidR="008A10CD" w:rsidRPr="00A53B8E">
        <w:rPr>
          <w:rFonts w:ascii="David" w:hAnsi="David" w:cs="David" w:hint="cs"/>
          <w:color w:val="000000" w:themeColor="text1"/>
          <w:rtl/>
          <w:lang w:bidi="he-IL"/>
        </w:rPr>
        <w:t xml:space="preserve"> הבטחת עצם פעולתו התקינה של המנהל (</w:t>
      </w:r>
      <w:r w:rsidR="008A10CD" w:rsidRPr="00A53B8E">
        <w:rPr>
          <w:rFonts w:ascii="David" w:hAnsi="David" w:cs="David" w:hint="cs"/>
          <w:b/>
          <w:bCs/>
          <w:color w:val="000000" w:themeColor="text1"/>
          <w:rtl/>
          <w:lang w:bidi="he-IL"/>
        </w:rPr>
        <w:t>ראו:</w:t>
      </w:r>
      <w:r w:rsidR="008A10CD" w:rsidRPr="00A53B8E">
        <w:rPr>
          <w:rFonts w:ascii="David" w:hAnsi="David" w:cs="David" w:hint="cs"/>
          <w:color w:val="000000" w:themeColor="text1"/>
          <w:rtl/>
          <w:lang w:bidi="he-IL"/>
        </w:rPr>
        <w:t xml:space="preserve"> ע״פ 8573/96 </w:t>
      </w:r>
      <w:r w:rsidR="008A10CD" w:rsidRPr="00A53B8E">
        <w:rPr>
          <w:rFonts w:ascii="David" w:hAnsi="David" w:cs="David" w:hint="cs"/>
          <w:b/>
          <w:bCs/>
          <w:color w:val="000000" w:themeColor="text1"/>
          <w:rtl/>
          <w:lang w:bidi="he-IL"/>
        </w:rPr>
        <w:t>מרקדו</w:t>
      </w:r>
      <w:r w:rsidR="008A10CD" w:rsidRPr="00A53B8E">
        <w:rPr>
          <w:rFonts w:ascii="David" w:hAnsi="David" w:cs="David" w:hint="cs"/>
          <w:color w:val="000000" w:themeColor="text1"/>
          <w:rtl/>
          <w:lang w:bidi="he-IL"/>
        </w:rPr>
        <w:t xml:space="preserve"> נ׳ </w:t>
      </w:r>
      <w:r w:rsidR="008A10CD" w:rsidRPr="00A53B8E">
        <w:rPr>
          <w:rFonts w:ascii="David" w:hAnsi="David" w:cs="David" w:hint="cs"/>
          <w:b/>
          <w:bCs/>
          <w:color w:val="000000" w:themeColor="text1"/>
          <w:rtl/>
          <w:lang w:bidi="he-IL"/>
        </w:rPr>
        <w:t>מדינת ישראל</w:t>
      </w:r>
      <w:r w:rsidR="008A10CD" w:rsidRPr="00A53B8E">
        <w:rPr>
          <w:rFonts w:ascii="David" w:hAnsi="David" w:cs="David" w:hint="cs"/>
          <w:color w:val="000000" w:themeColor="text1"/>
          <w:rtl/>
          <w:lang w:bidi="he-IL"/>
        </w:rPr>
        <w:t xml:space="preserve">, פ״ד נא(5) 481, בעמוד 500; מרדכי </w:t>
      </w:r>
      <w:proofErr w:type="spellStart"/>
      <w:r w:rsidR="008A10CD" w:rsidRPr="00A53B8E">
        <w:rPr>
          <w:rFonts w:ascii="David" w:hAnsi="David" w:cs="David" w:hint="cs"/>
          <w:color w:val="000000" w:themeColor="text1"/>
          <w:rtl/>
          <w:lang w:bidi="he-IL"/>
        </w:rPr>
        <w:t>קרמניצר</w:t>
      </w:r>
      <w:proofErr w:type="spellEnd"/>
      <w:r w:rsidR="008A10CD" w:rsidRPr="00A53B8E">
        <w:rPr>
          <w:rFonts w:ascii="David" w:hAnsi="David" w:cs="David" w:hint="cs"/>
          <w:color w:val="000000" w:themeColor="text1"/>
          <w:rtl/>
          <w:lang w:bidi="he-IL"/>
        </w:rPr>
        <w:t xml:space="preserve">, ״האם חסרי עבירות אנחנו?״, </w:t>
      </w:r>
      <w:r w:rsidR="008A10CD" w:rsidRPr="00A53B8E">
        <w:rPr>
          <w:rFonts w:ascii="David" w:hAnsi="David" w:cs="David" w:hint="cs"/>
          <w:b/>
          <w:bCs/>
          <w:color w:val="000000" w:themeColor="text1"/>
          <w:rtl/>
          <w:lang w:bidi="he-IL"/>
        </w:rPr>
        <w:t>משפטים</w:t>
      </w:r>
      <w:r w:rsidR="008A10CD" w:rsidRPr="00A53B8E">
        <w:rPr>
          <w:rFonts w:ascii="David" w:hAnsi="David" w:cs="David" w:hint="cs"/>
          <w:color w:val="000000" w:themeColor="text1"/>
          <w:rtl/>
          <w:lang w:bidi="he-IL"/>
        </w:rPr>
        <w:t xml:space="preserve"> </w:t>
      </w:r>
      <w:proofErr w:type="spellStart"/>
      <w:r w:rsidR="008A10CD" w:rsidRPr="00A53B8E">
        <w:rPr>
          <w:rFonts w:ascii="David" w:hAnsi="David" w:cs="David" w:hint="cs"/>
          <w:color w:val="000000" w:themeColor="text1"/>
          <w:rtl/>
          <w:lang w:bidi="he-IL"/>
        </w:rPr>
        <w:t>יג</w:t>
      </w:r>
      <w:proofErr w:type="spellEnd"/>
      <w:r w:rsidR="008A10CD" w:rsidRPr="00A53B8E">
        <w:rPr>
          <w:rFonts w:ascii="David" w:hAnsi="David" w:cs="David" w:hint="cs"/>
          <w:color w:val="000000" w:themeColor="text1"/>
          <w:rtl/>
          <w:lang w:bidi="he-IL"/>
        </w:rPr>
        <w:t xml:space="preserve"> (תשמ״ג) 159, 161-162) </w:t>
      </w:r>
      <w:r w:rsidR="00823C22" w:rsidRPr="00A53B8E">
        <w:rPr>
          <w:rFonts w:ascii="David" w:hAnsi="David" w:cs="David" w:hint="cs"/>
          <w:color w:val="000000" w:themeColor="text1"/>
          <w:rtl/>
          <w:lang w:bidi="he-IL"/>
        </w:rPr>
        <w:t>.</w:t>
      </w:r>
      <w:r w:rsidR="008A10CD" w:rsidRPr="00A53B8E">
        <w:rPr>
          <w:rFonts w:ascii="David" w:hAnsi="David" w:cs="David" w:hint="cs"/>
          <w:color w:val="000000" w:themeColor="text1"/>
          <w:rtl/>
          <w:lang w:bidi="he-IL"/>
        </w:rPr>
        <w:t xml:space="preserve"> </w:t>
      </w:r>
      <w:r w:rsidR="00823C22" w:rsidRPr="00A53B8E">
        <w:rPr>
          <w:rFonts w:ascii="David" w:hAnsi="David" w:cs="David" w:hint="cs"/>
          <w:color w:val="000000" w:themeColor="text1"/>
          <w:rtl/>
          <w:lang w:bidi="he-IL"/>
        </w:rPr>
        <w:t xml:space="preserve">עם זאת, </w:t>
      </w:r>
      <w:r w:rsidR="008A10CD" w:rsidRPr="00A53B8E">
        <w:rPr>
          <w:rFonts w:ascii="David" w:hAnsi="David" w:cs="David" w:hint="cs"/>
          <w:color w:val="000000" w:themeColor="text1"/>
          <w:rtl/>
          <w:lang w:bidi="he-IL"/>
        </w:rPr>
        <w:t xml:space="preserve">אימון הציבור הוא ״אמצעי להשגת המטרה של שמירת טוהר ההליך </w:t>
      </w:r>
      <w:proofErr w:type="spellStart"/>
      <w:r w:rsidR="008A10CD" w:rsidRPr="00A53B8E">
        <w:rPr>
          <w:rFonts w:ascii="David" w:hAnsi="David" w:cs="David" w:hint="cs"/>
          <w:color w:val="000000" w:themeColor="text1"/>
          <w:rtl/>
          <w:lang w:bidi="he-IL"/>
        </w:rPr>
        <w:t>המינהלי</w:t>
      </w:r>
      <w:proofErr w:type="spellEnd"/>
      <w:r w:rsidR="008A10CD" w:rsidRPr="00A53B8E">
        <w:rPr>
          <w:rFonts w:ascii="David" w:hAnsi="David" w:cs="David" w:hint="cs"/>
          <w:color w:val="000000" w:themeColor="text1"/>
          <w:rtl/>
          <w:lang w:bidi="he-IL"/>
        </w:rPr>
        <w:t>״ (</w:t>
      </w:r>
      <w:r w:rsidR="008A10CD" w:rsidRPr="00A53B8E">
        <w:rPr>
          <w:rFonts w:ascii="David" w:hAnsi="David" w:cs="David" w:hint="cs"/>
          <w:b/>
          <w:bCs/>
          <w:color w:val="000000" w:themeColor="text1"/>
          <w:rtl/>
          <w:lang w:bidi="he-IL"/>
        </w:rPr>
        <w:t>ראו:</w:t>
      </w:r>
      <w:r w:rsidR="008A10CD" w:rsidRPr="00A53B8E">
        <w:rPr>
          <w:rFonts w:ascii="David" w:hAnsi="David" w:cs="David" w:hint="cs"/>
          <w:color w:val="000000" w:themeColor="text1"/>
          <w:rtl/>
          <w:lang w:bidi="he-IL"/>
        </w:rPr>
        <w:t xml:space="preserve"> מרדכי </w:t>
      </w:r>
      <w:proofErr w:type="spellStart"/>
      <w:r w:rsidR="008A10CD" w:rsidRPr="00A53B8E">
        <w:rPr>
          <w:rFonts w:ascii="David" w:hAnsi="David" w:cs="David" w:hint="cs"/>
          <w:color w:val="000000" w:themeColor="text1"/>
          <w:rtl/>
          <w:lang w:bidi="he-IL"/>
        </w:rPr>
        <w:t>קרמניצר</w:t>
      </w:r>
      <w:proofErr w:type="spellEnd"/>
      <w:r w:rsidR="008A10CD" w:rsidRPr="00A53B8E">
        <w:rPr>
          <w:rFonts w:ascii="David" w:hAnsi="David" w:cs="David" w:hint="cs"/>
          <w:color w:val="000000" w:themeColor="text1"/>
          <w:rtl/>
          <w:lang w:bidi="he-IL"/>
        </w:rPr>
        <w:t xml:space="preserve">, ליאת לבנון, ״עד היכן תתרחב עוד עבירת השוחד </w:t>
      </w:r>
      <w:r w:rsidR="008A10CD" w:rsidRPr="00A53B8E">
        <w:rPr>
          <w:rFonts w:ascii="David" w:hAnsi="David" w:cs="David"/>
          <w:color w:val="000000" w:themeColor="text1"/>
          <w:rtl/>
          <w:lang w:bidi="he-IL"/>
        </w:rPr>
        <w:t>–</w:t>
      </w:r>
      <w:r w:rsidR="008A10CD" w:rsidRPr="00A53B8E">
        <w:rPr>
          <w:rFonts w:ascii="David" w:hAnsi="David" w:cs="David" w:hint="cs"/>
          <w:color w:val="000000" w:themeColor="text1"/>
          <w:rtl/>
          <w:lang w:bidi="he-IL"/>
        </w:rPr>
        <w:t xml:space="preserve"> בעקבות ע״פ 8573/96״ </w:t>
      </w:r>
      <w:r w:rsidR="008A10CD" w:rsidRPr="00A53B8E">
        <w:rPr>
          <w:rFonts w:ascii="David" w:hAnsi="David" w:cs="David" w:hint="cs"/>
          <w:b/>
          <w:bCs/>
          <w:color w:val="000000" w:themeColor="text1"/>
          <w:rtl/>
          <w:lang w:bidi="he-IL"/>
        </w:rPr>
        <w:t>עלי משפט</w:t>
      </w:r>
      <w:r w:rsidR="008A10CD" w:rsidRPr="00A53B8E">
        <w:rPr>
          <w:rFonts w:ascii="David" w:hAnsi="David" w:cs="David" w:hint="cs"/>
          <w:color w:val="000000" w:themeColor="text1"/>
          <w:rtl/>
          <w:lang w:bidi="he-IL"/>
        </w:rPr>
        <w:t xml:space="preserve"> א׳ (תשס״א) 369, בעמוד 373).</w:t>
      </w:r>
      <w:r w:rsidR="007622B2" w:rsidRPr="00A53B8E">
        <w:rPr>
          <w:rFonts w:ascii="David" w:hAnsi="David" w:cs="David" w:hint="cs"/>
          <w:color w:val="000000" w:themeColor="text1"/>
          <w:rtl/>
          <w:lang w:bidi="he-IL"/>
        </w:rPr>
        <w:t xml:space="preserve"> חשיבות רבה </w:t>
      </w:r>
      <w:r w:rsidR="00823C22" w:rsidRPr="00A53B8E">
        <w:rPr>
          <w:rFonts w:ascii="David" w:hAnsi="David" w:cs="David" w:hint="cs"/>
          <w:color w:val="000000" w:themeColor="text1"/>
          <w:rtl/>
          <w:lang w:bidi="he-IL"/>
        </w:rPr>
        <w:t xml:space="preserve">אפוא </w:t>
      </w:r>
      <w:r w:rsidR="007622B2" w:rsidRPr="00A53B8E">
        <w:rPr>
          <w:rFonts w:ascii="David" w:hAnsi="David" w:cs="David" w:hint="cs"/>
          <w:color w:val="000000" w:themeColor="text1"/>
          <w:rtl/>
          <w:lang w:bidi="he-IL"/>
        </w:rPr>
        <w:t>יש באכיפת כללי האתיקה העיתונאית עת עסקינן במעשים פליליים הנוגעים לעבירת השוחד בנוגע לעבודה עיתונאית. חשיבות זו נגזרת לא רק מהצורך להגן על אמון הציבור בתקשורת ובעיתונות, כי אם גם כדי להגן על אימון הציבור בתקנון האתיקה בו ציידה מועצת העיתונות והתקשורת בישראל את כלי התקשורת ואת העיתונאים בישראל.</w:t>
      </w:r>
      <w:r w:rsidR="007B58E1" w:rsidRPr="00A53B8E">
        <w:rPr>
          <w:rFonts w:ascii="David" w:hAnsi="David" w:cs="David" w:hint="cs"/>
          <w:color w:val="000000" w:themeColor="text1"/>
          <w:rtl/>
          <w:lang w:bidi="he-IL"/>
        </w:rPr>
        <w:t xml:space="preserve"> </w:t>
      </w:r>
    </w:p>
    <w:p w14:paraId="1E3FB2E3" w14:textId="47610DCD" w:rsidR="000318F3" w:rsidRPr="00A53B8E" w:rsidRDefault="007622B2" w:rsidP="0079439A">
      <w:pPr>
        <w:pStyle w:val="a3"/>
        <w:numPr>
          <w:ilvl w:val="0"/>
          <w:numId w:val="1"/>
        </w:numPr>
        <w:bidi/>
        <w:spacing w:line="360" w:lineRule="auto"/>
        <w:jc w:val="both"/>
        <w:rPr>
          <w:rFonts w:ascii="David" w:hAnsi="David" w:cs="David"/>
          <w:color w:val="000000" w:themeColor="text1"/>
          <w:rtl/>
          <w:lang w:bidi="he-IL"/>
        </w:rPr>
      </w:pPr>
      <w:r w:rsidRPr="00A53B8E">
        <w:rPr>
          <w:rFonts w:ascii="David" w:hAnsi="David" w:cs="David" w:hint="cs"/>
          <w:color w:val="000000" w:themeColor="text1"/>
          <w:rtl/>
          <w:lang w:bidi="he-IL"/>
        </w:rPr>
        <w:t>כוחם של דברים אלה יפה ברמת העיקרון וביתר שאת ביחס ל</w:t>
      </w:r>
      <w:r w:rsidR="00B70631" w:rsidRPr="00A53B8E">
        <w:rPr>
          <w:rFonts w:ascii="David" w:hAnsi="David" w:cs="David" w:hint="cs"/>
          <w:color w:val="000000" w:themeColor="text1"/>
          <w:rtl/>
          <w:lang w:bidi="he-IL"/>
        </w:rPr>
        <w:t xml:space="preserve">עניין </w:t>
      </w:r>
      <w:r w:rsidR="00271D42" w:rsidRPr="00A53B8E">
        <w:rPr>
          <w:rFonts w:ascii="David" w:hAnsi="David" w:cs="David" w:hint="cs"/>
          <w:color w:val="000000" w:themeColor="text1"/>
          <w:rtl/>
          <w:lang w:bidi="he-IL"/>
        </w:rPr>
        <w:t xml:space="preserve">הקונקרטי </w:t>
      </w:r>
      <w:r w:rsidRPr="00A53B8E">
        <w:rPr>
          <w:rFonts w:ascii="David" w:hAnsi="David" w:cs="David" w:hint="cs"/>
          <w:color w:val="000000" w:themeColor="text1"/>
          <w:rtl/>
          <w:lang w:bidi="he-IL"/>
        </w:rPr>
        <w:t>מושא ד</w:t>
      </w:r>
      <w:r w:rsidR="002A3ACA">
        <w:rPr>
          <w:rFonts w:ascii="David" w:hAnsi="David" w:cs="David" w:hint="cs"/>
          <w:color w:val="000000" w:themeColor="text1"/>
          <w:rtl/>
          <w:lang w:bidi="he-IL"/>
        </w:rPr>
        <w:t>י</w:t>
      </w:r>
      <w:r w:rsidRPr="00A53B8E">
        <w:rPr>
          <w:rFonts w:ascii="David" w:hAnsi="David" w:cs="David" w:hint="cs"/>
          <w:color w:val="000000" w:themeColor="text1"/>
          <w:rtl/>
          <w:lang w:bidi="he-IL"/>
        </w:rPr>
        <w:t>וננו.</w:t>
      </w:r>
      <w:r w:rsidR="004D6559" w:rsidRPr="00A53B8E">
        <w:rPr>
          <w:rFonts w:ascii="David" w:hAnsi="David" w:cs="David" w:hint="cs"/>
          <w:color w:val="000000" w:themeColor="text1"/>
          <w:rtl/>
          <w:lang w:bidi="he-IL"/>
        </w:rPr>
        <w:t xml:space="preserve"> </w:t>
      </w:r>
      <w:r w:rsidR="00EA690E" w:rsidRPr="00A53B8E">
        <w:rPr>
          <w:rFonts w:ascii="David" w:hAnsi="David" w:cs="David" w:hint="cs"/>
          <w:color w:val="000000" w:themeColor="text1"/>
          <w:rtl/>
          <w:lang w:bidi="he-IL"/>
        </w:rPr>
        <w:t xml:space="preserve">מוזס הוא עיתונאי בכיר המחזיק בתפקיד רב עוצמה, בהיותו העורך הראשי </w:t>
      </w:r>
      <w:r w:rsidR="00931E87">
        <w:rPr>
          <w:rFonts w:ascii="David" w:hAnsi="David" w:cs="David" w:hint="cs"/>
          <w:color w:val="000000" w:themeColor="text1"/>
          <w:rtl/>
          <w:lang w:bidi="he-IL"/>
        </w:rPr>
        <w:t xml:space="preserve">(או בתוארו "העורך האחראי") </w:t>
      </w:r>
      <w:r w:rsidR="00EA690E" w:rsidRPr="00A53B8E">
        <w:rPr>
          <w:rFonts w:ascii="David" w:hAnsi="David" w:cs="David" w:hint="cs"/>
          <w:color w:val="000000" w:themeColor="text1"/>
          <w:rtl/>
          <w:lang w:bidi="he-IL"/>
        </w:rPr>
        <w:t>של המשיבה 1</w:t>
      </w:r>
      <w:r w:rsidR="000318F3" w:rsidRPr="00A53B8E">
        <w:rPr>
          <w:rFonts w:ascii="David" w:hAnsi="David" w:cs="David" w:hint="cs"/>
          <w:color w:val="000000" w:themeColor="text1"/>
          <w:rtl/>
          <w:lang w:bidi="he-IL"/>
        </w:rPr>
        <w:t xml:space="preserve">; דבר המקנה לו </w:t>
      </w:r>
      <w:proofErr w:type="spellStart"/>
      <w:r w:rsidR="000318F3" w:rsidRPr="00A53B8E">
        <w:rPr>
          <w:rFonts w:ascii="David" w:hAnsi="David" w:cs="David" w:hint="cs"/>
          <w:color w:val="000000" w:themeColor="text1"/>
          <w:rtl/>
          <w:lang w:bidi="he-IL"/>
        </w:rPr>
        <w:t>כח</w:t>
      </w:r>
      <w:proofErr w:type="spellEnd"/>
      <w:r w:rsidR="000318F3" w:rsidRPr="00A53B8E">
        <w:rPr>
          <w:rFonts w:ascii="David" w:hAnsi="David" w:cs="David" w:hint="cs"/>
          <w:color w:val="000000" w:themeColor="text1"/>
          <w:rtl/>
          <w:lang w:bidi="he-IL"/>
        </w:rPr>
        <w:t xml:space="preserve"> אדיר </w:t>
      </w:r>
      <w:r w:rsidR="00EA690E" w:rsidRPr="00A53B8E">
        <w:rPr>
          <w:rFonts w:ascii="David" w:hAnsi="David" w:cs="David" w:hint="cs"/>
          <w:color w:val="000000" w:themeColor="text1"/>
          <w:rtl/>
          <w:lang w:bidi="he-IL"/>
        </w:rPr>
        <w:t>ב</w:t>
      </w:r>
      <w:r w:rsidR="000318F3" w:rsidRPr="00A53B8E">
        <w:rPr>
          <w:rFonts w:ascii="David" w:hAnsi="David" w:cs="David" w:hint="cs"/>
          <w:color w:val="000000" w:themeColor="text1"/>
          <w:rtl/>
          <w:lang w:bidi="he-IL"/>
        </w:rPr>
        <w:t xml:space="preserve">עיצוב דעת הקהל והשפעה עליו. על </w:t>
      </w:r>
      <w:proofErr w:type="spellStart"/>
      <w:r w:rsidR="000318F3" w:rsidRPr="00A53B8E">
        <w:rPr>
          <w:rFonts w:ascii="David" w:hAnsi="David" w:cs="David" w:hint="cs"/>
          <w:color w:val="000000" w:themeColor="text1"/>
          <w:rtl/>
          <w:lang w:bidi="he-IL"/>
        </w:rPr>
        <w:t>כח</w:t>
      </w:r>
      <w:proofErr w:type="spellEnd"/>
      <w:r w:rsidR="000318F3" w:rsidRPr="00A53B8E">
        <w:rPr>
          <w:rFonts w:ascii="David" w:hAnsi="David" w:cs="David" w:hint="cs"/>
          <w:color w:val="000000" w:themeColor="text1"/>
          <w:rtl/>
          <w:lang w:bidi="he-IL"/>
        </w:rPr>
        <w:t xml:space="preserve"> זה ניתן ללמוד מעצם היחסים אשר נרקמו בינו לבין לא אחר מאשר ראש ממשלת ישראל, בנימין נתניהו, בפרשת 2000. בגדר יחסים אלה, כך עולה מכתב האישום:</w:t>
      </w:r>
    </w:p>
    <w:p w14:paraId="711F6A51" w14:textId="16ADA252" w:rsidR="000318F3" w:rsidRPr="00A53B8E" w:rsidRDefault="000318F3" w:rsidP="009E23AF">
      <w:pPr>
        <w:bidi/>
        <w:ind w:left="2274" w:right="1701"/>
        <w:jc w:val="both"/>
        <w:rPr>
          <w:rFonts w:ascii="David" w:hAnsi="David" w:cs="David"/>
          <w:color w:val="000000" w:themeColor="text1"/>
          <w:rtl/>
          <w:lang w:bidi="he-IL"/>
        </w:rPr>
      </w:pPr>
      <w:r w:rsidRPr="00A53B8E">
        <w:rPr>
          <w:rFonts w:ascii="David" w:hAnsi="David" w:cs="David" w:hint="cs"/>
          <w:color w:val="000000" w:themeColor="text1"/>
          <w:rtl/>
          <w:lang w:bidi="he-IL"/>
        </w:rPr>
        <w:t>23. לאורך השנים התקיימו בין הנאשמים נתניהו ומוזס יחסי יריבות עמוקה. עם זאת, קיימו השניים במהלך השנים שלוש סדרות של פגישות: בשנים 2009-2008; בשנים 2013 ובשנת 2014. במהלך כל אחת מסדרת הפגישות האמורות, הנאשמים נתניהו ומוזס קיימו שיח על קידום האינטרסים ההדדיים שלהם: שיפור אופן סיקורו של הנאשם נתניהו בכלי התקשורת מקבוצת ״ידיעות אחרונות״ והטלת מגבלות על העיתון ״ישראל היום״, דבר שהיה בעל משמעות כלכלית רבה עבור הנאשם מוזס ועבור קבוצת ״ידיעות אחרונות״.</w:t>
      </w:r>
    </w:p>
    <w:p w14:paraId="4598F7ED" w14:textId="4F5775C0" w:rsidR="000318F3" w:rsidRDefault="000318F3" w:rsidP="0079439A">
      <w:pPr>
        <w:bidi/>
        <w:ind w:left="2274" w:right="1701"/>
        <w:jc w:val="both"/>
        <w:rPr>
          <w:rFonts w:ascii="David" w:hAnsi="David" w:cs="David"/>
          <w:color w:val="000000" w:themeColor="text1"/>
          <w:rtl/>
          <w:lang w:bidi="he-IL"/>
        </w:rPr>
      </w:pPr>
      <w:r w:rsidRPr="00A53B8E">
        <w:rPr>
          <w:rFonts w:ascii="David" w:hAnsi="David" w:cs="David" w:hint="cs"/>
          <w:color w:val="000000" w:themeColor="text1"/>
          <w:rtl/>
          <w:lang w:bidi="he-IL"/>
        </w:rPr>
        <w:lastRenderedPageBreak/>
        <w:t xml:space="preserve">24. באחת הפגישות שהתקיימה ביום 4.12.2014, ולקראת מערכת הבחירות לכנסת העשרים, הנאשם מוזס הציע לנאשם נתניהו שוחד. זאת, בכך שיביא לשינוי ניכר לטובה בקו ובאופן הסיקור של הנאשם נתניהו ובני משפחתו בכלי התקשורת מקבוצת ״ידיעות אחרונות״, ולשינוי לרעה באופן הסיקור של יריביו הפוליטיים, עד כדי ״רעידת אדמה״ </w:t>
      </w:r>
      <w:proofErr w:type="spellStart"/>
      <w:r w:rsidRPr="00A53B8E">
        <w:rPr>
          <w:rFonts w:ascii="David" w:hAnsi="David" w:cs="David" w:hint="cs"/>
          <w:color w:val="000000" w:themeColor="text1"/>
          <w:rtl/>
          <w:lang w:bidi="he-IL"/>
        </w:rPr>
        <w:t>ו״סיבוב</w:t>
      </w:r>
      <w:proofErr w:type="spellEnd"/>
      <w:r w:rsidRPr="00A53B8E">
        <w:rPr>
          <w:rFonts w:ascii="David" w:hAnsi="David" w:cs="David" w:hint="cs"/>
          <w:color w:val="000000" w:themeColor="text1"/>
          <w:rtl/>
          <w:lang w:bidi="he-IL"/>
        </w:rPr>
        <w:t xml:space="preserve"> הספינה״, כאשר בשיחתם. מוזס הציע כי יעשה כן באופן שיבטיח את המשך כהונתו של הנאשם נתניהו כראש ממשלה לאורך זמן, וזאת בתמורה לכך שהנאשם נתניהו ינצל את השפעתו כראש הממשלה לקדם חקיקה שתטיל מגבלות על ״ישראל היום״ ותביא להטבות כלכליות משמעותיות לנאשם מוזס ועסקיו.</w:t>
      </w:r>
    </w:p>
    <w:p w14:paraId="5043E2E1" w14:textId="48CE76A0" w:rsidR="00947BFE" w:rsidRPr="00A53B8E" w:rsidRDefault="00947BFE" w:rsidP="00947BFE">
      <w:pPr>
        <w:bidi/>
        <w:ind w:left="2274" w:right="1701"/>
        <w:jc w:val="both"/>
        <w:rPr>
          <w:rFonts w:ascii="David" w:hAnsi="David" w:cs="David"/>
          <w:color w:val="000000" w:themeColor="text1"/>
          <w:rtl/>
          <w:lang w:bidi="he-IL"/>
        </w:rPr>
      </w:pPr>
      <w:r>
        <w:rPr>
          <w:rFonts w:ascii="David" w:hAnsi="David" w:cs="David" w:hint="cs"/>
          <w:color w:val="000000" w:themeColor="text1"/>
          <w:rtl/>
          <w:lang w:bidi="he-IL"/>
        </w:rPr>
        <w:t>25</w:t>
      </w:r>
      <w:r w:rsidRPr="00A53B8E">
        <w:rPr>
          <w:rFonts w:ascii="David" w:hAnsi="David" w:cs="David" w:hint="cs"/>
          <w:color w:val="000000" w:themeColor="text1"/>
          <w:rtl/>
          <w:lang w:bidi="he-IL"/>
        </w:rPr>
        <w:t>. הנאשם נתניהו לא סירב להצעת השוחד ולא הפסיק בעטיה את השיחה עם הנאשם מוזס, והגם שלא התכוון לקדם את הצעת החוק, המשיך לנהל עם הנאשם מוזס שיחה ארוכה ומפורטת על מרכיבי ההצעה והציג בפניו מצג לפיו יש אפשרות של מממש שיעשה שימוש בכוחו השלטוני על מנת לקדם חקיקה המיטיבה עם הנאשם מוזס. הנאשם נתניהו פעל כאמור על מנת להמשיך את השיח ובכך לגרום לנאשם מוזס להשפיע לטובה על אופן סיקורו בכלי התקשורת מקבוצת ״ידיעות אחרונות״ בתקופת הבחירות ולגרום לו לפעול למניעת פרסומים שליליים שיפגעו בו או במשפחתו, לפחות בתקופה זו וכל עוד השיחות ביניהם נמשכות.</w:t>
      </w:r>
    </w:p>
    <w:p w14:paraId="5763AB34" w14:textId="77777777" w:rsidR="00947BFE" w:rsidRPr="00A53B8E" w:rsidRDefault="00947BFE" w:rsidP="00947BFE">
      <w:pPr>
        <w:bidi/>
        <w:ind w:left="2274" w:right="1701"/>
        <w:jc w:val="both"/>
        <w:rPr>
          <w:rFonts w:ascii="David" w:hAnsi="David" w:cs="David"/>
          <w:color w:val="000000" w:themeColor="text1"/>
          <w:rtl/>
          <w:lang w:bidi="he-IL"/>
        </w:rPr>
      </w:pPr>
      <w:r w:rsidRPr="00A53B8E">
        <w:rPr>
          <w:rFonts w:ascii="David" w:hAnsi="David" w:cs="David" w:hint="cs"/>
          <w:color w:val="000000" w:themeColor="text1"/>
          <w:rtl/>
          <w:lang w:bidi="he-IL"/>
        </w:rPr>
        <w:t xml:space="preserve">26. בהמשך לפגישה זו, ועל מנת לשמר אצל הנאשם מוזס את הרושם כי הוא בוחן את היתכנות קידום החקיקה האמורה, הנאשם נתניהו נפגש עם יו״ר הקואליציה, זאב </w:t>
      </w:r>
      <w:proofErr w:type="spellStart"/>
      <w:r w:rsidRPr="00A53B8E">
        <w:rPr>
          <w:rFonts w:ascii="David" w:hAnsi="David" w:cs="David" w:hint="cs"/>
          <w:color w:val="000000" w:themeColor="text1"/>
          <w:rtl/>
          <w:lang w:bidi="he-IL"/>
        </w:rPr>
        <w:t>אלקין</w:t>
      </w:r>
      <w:proofErr w:type="spellEnd"/>
      <w:r w:rsidRPr="00A53B8E">
        <w:rPr>
          <w:rFonts w:ascii="David" w:hAnsi="David" w:cs="David" w:hint="cs"/>
          <w:color w:val="000000" w:themeColor="text1"/>
          <w:rtl/>
          <w:lang w:bidi="he-IL"/>
        </w:rPr>
        <w:t xml:space="preserve">, ועם יו״ר ועדת הכנסת, יריב לוין, כאשר לנגד עיניו האפשרות שדבר קיומה של הפגישה ייוודע לנאשם מוזס. בפגישה זו הבהירו </w:t>
      </w:r>
      <w:proofErr w:type="spellStart"/>
      <w:r w:rsidRPr="00A53B8E">
        <w:rPr>
          <w:rFonts w:ascii="David" w:hAnsi="David" w:cs="David" w:hint="cs"/>
          <w:color w:val="000000" w:themeColor="text1"/>
          <w:rtl/>
          <w:lang w:bidi="he-IL"/>
        </w:rPr>
        <w:t>אלקין</w:t>
      </w:r>
      <w:proofErr w:type="spellEnd"/>
      <w:r w:rsidRPr="00A53B8E">
        <w:rPr>
          <w:rFonts w:ascii="David" w:hAnsi="David" w:cs="David" w:hint="cs"/>
          <w:color w:val="000000" w:themeColor="text1"/>
          <w:rtl/>
          <w:lang w:bidi="he-IL"/>
        </w:rPr>
        <w:t xml:space="preserve"> ולוין לנאשם נתניהו כי לא ניתן יהיה לקדם את החקיקה בתקופה זו. בהמשך לכך קיים הנאשם נתניהו, ביוזמתו, פגישה נוספת עם הנאשם מוזס, במהלכה הציג בפניו מצג לפיו יפעל לקדם את החקיקה לאחר הבחירות, וזאת במטרה להמשיך עמו את השיח על הצעת השוחד.</w:t>
      </w:r>
    </w:p>
    <w:p w14:paraId="694D29A7" w14:textId="77777777" w:rsidR="00947BFE" w:rsidRPr="00A53B8E" w:rsidRDefault="00947BFE" w:rsidP="00947BFE">
      <w:pPr>
        <w:bidi/>
        <w:ind w:left="2274" w:right="1701"/>
        <w:jc w:val="both"/>
        <w:rPr>
          <w:rFonts w:ascii="David" w:hAnsi="David" w:cs="David"/>
          <w:color w:val="000000" w:themeColor="text1"/>
          <w:rtl/>
          <w:lang w:bidi="he-IL"/>
        </w:rPr>
      </w:pPr>
    </w:p>
    <w:p w14:paraId="66A6D567" w14:textId="354E5950" w:rsidR="005A4A2F" w:rsidRPr="00A53B8E" w:rsidRDefault="0079439A" w:rsidP="007F4925">
      <w:pPr>
        <w:bidi/>
        <w:spacing w:line="360" w:lineRule="auto"/>
        <w:ind w:left="720"/>
        <w:jc w:val="both"/>
        <w:rPr>
          <w:rFonts w:ascii="David" w:hAnsi="David" w:cs="David"/>
          <w:color w:val="000000" w:themeColor="text1"/>
          <w:rtl/>
          <w:lang w:bidi="he-IL"/>
        </w:rPr>
      </w:pPr>
      <w:r w:rsidRPr="00A53B8E">
        <w:rPr>
          <w:rFonts w:ascii="David" w:hAnsi="David" w:cs="David" w:hint="cs"/>
          <w:color w:val="000000" w:themeColor="text1"/>
          <w:rtl/>
          <w:lang w:bidi="he-IL"/>
        </w:rPr>
        <w:t>מעשים אלה המיוחסים למוזס כנאשם בפלילים מבססים</w:t>
      </w:r>
      <w:r w:rsidR="0053106B" w:rsidRPr="00A53B8E">
        <w:rPr>
          <w:rFonts w:ascii="David" w:hAnsi="David" w:cs="David" w:hint="cs"/>
          <w:color w:val="000000" w:themeColor="text1"/>
          <w:rtl/>
          <w:lang w:bidi="he-IL"/>
        </w:rPr>
        <w:t>,</w:t>
      </w:r>
      <w:r w:rsidRPr="00A53B8E">
        <w:rPr>
          <w:rFonts w:ascii="David" w:hAnsi="David" w:cs="David" w:hint="cs"/>
          <w:color w:val="000000" w:themeColor="text1"/>
          <w:rtl/>
          <w:lang w:bidi="he-IL"/>
        </w:rPr>
        <w:t xml:space="preserve"> גם מבססים</w:t>
      </w:r>
      <w:r w:rsidR="0053106B" w:rsidRPr="00A53B8E">
        <w:rPr>
          <w:rFonts w:ascii="David" w:hAnsi="David" w:cs="David" w:hint="cs"/>
          <w:color w:val="000000" w:themeColor="text1"/>
          <w:rtl/>
          <w:lang w:bidi="he-IL"/>
        </w:rPr>
        <w:t>,</w:t>
      </w:r>
      <w:r w:rsidRPr="00A53B8E">
        <w:rPr>
          <w:rFonts w:ascii="David" w:hAnsi="David" w:cs="David" w:hint="cs"/>
          <w:color w:val="000000" w:themeColor="text1"/>
          <w:rtl/>
          <w:lang w:bidi="he-IL"/>
        </w:rPr>
        <w:t xml:space="preserve"> קלון במובנו הקלאסי ביותר של הביטוי על מקצוע העיתונ</w:t>
      </w:r>
      <w:r w:rsidR="00931E87">
        <w:rPr>
          <w:rFonts w:ascii="David" w:hAnsi="David" w:cs="David" w:hint="cs"/>
          <w:color w:val="000000" w:themeColor="text1"/>
          <w:rtl/>
          <w:lang w:bidi="he-IL"/>
        </w:rPr>
        <w:t>א</w:t>
      </w:r>
      <w:r w:rsidRPr="00A53B8E">
        <w:rPr>
          <w:rFonts w:ascii="David" w:hAnsi="David" w:cs="David" w:hint="cs"/>
          <w:color w:val="000000" w:themeColor="text1"/>
          <w:rtl/>
          <w:lang w:bidi="he-IL"/>
        </w:rPr>
        <w:t xml:space="preserve">ות. </w:t>
      </w:r>
      <w:r w:rsidR="002C67B5" w:rsidRPr="00A53B8E">
        <w:rPr>
          <w:rFonts w:ascii="David" w:hAnsi="David" w:cs="David" w:hint="cs"/>
          <w:color w:val="000000" w:themeColor="text1"/>
          <w:rtl/>
          <w:lang w:bidi="he-IL"/>
        </w:rPr>
        <w:t xml:space="preserve">מדובר במעשים בעלי חומרה מוסרית גבוה מאוד, כזו אשר יש בה </w:t>
      </w:r>
      <w:r w:rsidR="009E23AF" w:rsidRPr="00A53B8E">
        <w:rPr>
          <w:rFonts w:ascii="David" w:hAnsi="David" w:cs="David" w:hint="cs"/>
          <w:color w:val="000000" w:themeColor="text1"/>
          <w:rtl/>
          <w:lang w:bidi="he-IL"/>
        </w:rPr>
        <w:t xml:space="preserve">כדי </w:t>
      </w:r>
      <w:r w:rsidR="002C67B5" w:rsidRPr="00A53B8E">
        <w:rPr>
          <w:rFonts w:ascii="David" w:hAnsi="David" w:cs="David" w:hint="cs"/>
          <w:color w:val="000000" w:themeColor="text1"/>
          <w:rtl/>
          <w:lang w:bidi="he-IL"/>
        </w:rPr>
        <w:t>לזעזע את אמות הספים</w:t>
      </w:r>
      <w:r w:rsidR="009E23AF" w:rsidRPr="00A53B8E">
        <w:rPr>
          <w:rFonts w:ascii="David" w:hAnsi="David" w:cs="David" w:hint="cs"/>
          <w:color w:val="000000" w:themeColor="text1"/>
          <w:rtl/>
          <w:lang w:bidi="he-IL"/>
        </w:rPr>
        <w:t xml:space="preserve">, </w:t>
      </w:r>
      <w:r w:rsidR="002C67B5" w:rsidRPr="00A53B8E">
        <w:rPr>
          <w:rFonts w:ascii="David" w:hAnsi="David" w:cs="David" w:hint="cs"/>
          <w:color w:val="000000" w:themeColor="text1"/>
          <w:rtl/>
          <w:lang w:bidi="he-IL"/>
        </w:rPr>
        <w:t>למוטט את הפיגומים האתיים עליהם מושתת מקצוע העיתונ</w:t>
      </w:r>
      <w:r w:rsidR="00931E87">
        <w:rPr>
          <w:rFonts w:ascii="David" w:hAnsi="David" w:cs="David" w:hint="cs"/>
          <w:color w:val="000000" w:themeColor="text1"/>
          <w:rtl/>
          <w:lang w:bidi="he-IL"/>
        </w:rPr>
        <w:t>א</w:t>
      </w:r>
      <w:r w:rsidR="002C67B5" w:rsidRPr="00A53B8E">
        <w:rPr>
          <w:rFonts w:ascii="David" w:hAnsi="David" w:cs="David" w:hint="cs"/>
          <w:color w:val="000000" w:themeColor="text1"/>
          <w:rtl/>
          <w:lang w:bidi="he-IL"/>
        </w:rPr>
        <w:t>ות, ואף לפגוע פגיעה אנושה באימון הציבור בכלי התקשורת ובעיתונאים. נזקים קשים אלה למקצוע העיתונ</w:t>
      </w:r>
      <w:r w:rsidR="00931E87">
        <w:rPr>
          <w:rFonts w:ascii="David" w:hAnsi="David" w:cs="David" w:hint="cs"/>
          <w:color w:val="000000" w:themeColor="text1"/>
          <w:rtl/>
          <w:lang w:bidi="he-IL"/>
        </w:rPr>
        <w:t>א</w:t>
      </w:r>
      <w:r w:rsidR="002C67B5" w:rsidRPr="00A53B8E">
        <w:rPr>
          <w:rFonts w:ascii="David" w:hAnsi="David" w:cs="David" w:hint="cs"/>
          <w:color w:val="000000" w:themeColor="text1"/>
          <w:rtl/>
          <w:lang w:bidi="he-IL"/>
        </w:rPr>
        <w:t>ות הם בעלי השלכה דרמטית נוספת על חופש הביטוי בכלל ועל חופש העיתונות בפרט</w:t>
      </w:r>
      <w:r w:rsidR="009E23AF" w:rsidRPr="00A53B8E">
        <w:rPr>
          <w:rFonts w:ascii="David" w:hAnsi="David" w:cs="David" w:hint="cs"/>
          <w:color w:val="000000" w:themeColor="text1"/>
          <w:rtl/>
          <w:lang w:bidi="he-IL"/>
        </w:rPr>
        <w:t>. זאת, נוסף</w:t>
      </w:r>
      <w:r w:rsidR="002C67B5" w:rsidRPr="00A53B8E">
        <w:rPr>
          <w:rFonts w:ascii="David" w:hAnsi="David" w:cs="David" w:hint="cs"/>
          <w:color w:val="000000" w:themeColor="text1"/>
          <w:rtl/>
          <w:lang w:bidi="he-IL"/>
        </w:rPr>
        <w:t xml:space="preserve"> </w:t>
      </w:r>
      <w:r w:rsidR="009E23AF" w:rsidRPr="00A53B8E">
        <w:rPr>
          <w:rFonts w:ascii="David" w:hAnsi="David" w:cs="David" w:hint="cs"/>
          <w:color w:val="000000" w:themeColor="text1"/>
          <w:rtl/>
          <w:lang w:bidi="he-IL"/>
        </w:rPr>
        <w:t>ל</w:t>
      </w:r>
      <w:r w:rsidR="002C67B5" w:rsidRPr="00A53B8E">
        <w:rPr>
          <w:rFonts w:ascii="David" w:hAnsi="David" w:cs="David" w:hint="cs"/>
          <w:color w:val="000000" w:themeColor="text1"/>
          <w:rtl/>
          <w:lang w:bidi="he-IL"/>
        </w:rPr>
        <w:t xml:space="preserve">הטלת דופי מוסרי באופן שבו העיתונות משפיעה על דעת הקהל ועל </w:t>
      </w:r>
      <w:r w:rsidR="007F4925">
        <w:rPr>
          <w:rFonts w:ascii="David" w:hAnsi="David" w:cs="David" w:hint="cs"/>
          <w:color w:val="000000" w:themeColor="text1"/>
          <w:rtl/>
          <w:lang w:bidi="he-IL"/>
        </w:rPr>
        <w:t>ה</w:t>
      </w:r>
      <w:r w:rsidR="002C67B5" w:rsidRPr="00A53B8E">
        <w:rPr>
          <w:rFonts w:ascii="David" w:hAnsi="David" w:cs="David" w:hint="cs"/>
          <w:color w:val="000000" w:themeColor="text1"/>
          <w:rtl/>
          <w:lang w:bidi="he-IL"/>
        </w:rPr>
        <w:t xml:space="preserve">שוק </w:t>
      </w:r>
      <w:r w:rsidR="007F4925">
        <w:rPr>
          <w:rFonts w:ascii="David" w:hAnsi="David" w:cs="David" w:hint="cs"/>
          <w:color w:val="000000" w:themeColor="text1"/>
          <w:rtl/>
          <w:lang w:bidi="he-IL"/>
        </w:rPr>
        <w:t xml:space="preserve">החופשי של </w:t>
      </w:r>
      <w:r w:rsidR="002C67B5" w:rsidRPr="00A53B8E">
        <w:rPr>
          <w:rFonts w:ascii="David" w:hAnsi="David" w:cs="David" w:hint="cs"/>
          <w:color w:val="000000" w:themeColor="text1"/>
          <w:rtl/>
          <w:lang w:bidi="he-IL"/>
        </w:rPr>
        <w:t>הרעיונות בציבור.</w:t>
      </w:r>
      <w:r w:rsidR="00F050EE" w:rsidRPr="00A53B8E">
        <w:rPr>
          <w:rFonts w:ascii="David" w:hAnsi="David" w:cs="David" w:hint="cs"/>
          <w:color w:val="000000" w:themeColor="text1"/>
          <w:rtl/>
          <w:lang w:bidi="he-IL"/>
        </w:rPr>
        <w:t xml:space="preserve"> </w:t>
      </w:r>
    </w:p>
    <w:p w14:paraId="3C366229" w14:textId="036E3127" w:rsidR="000318F3" w:rsidRPr="00A53B8E" w:rsidRDefault="00F050EE" w:rsidP="009E23AF">
      <w:pPr>
        <w:pStyle w:val="a3"/>
        <w:numPr>
          <w:ilvl w:val="0"/>
          <w:numId w:val="1"/>
        </w:numPr>
        <w:bidi/>
        <w:spacing w:line="360" w:lineRule="auto"/>
        <w:jc w:val="both"/>
        <w:rPr>
          <w:rFonts w:ascii="David" w:hAnsi="David" w:cs="David"/>
          <w:color w:val="000000" w:themeColor="text1"/>
          <w:lang w:bidi="he-IL"/>
        </w:rPr>
      </w:pPr>
      <w:r w:rsidRPr="00A53B8E">
        <w:rPr>
          <w:rFonts w:ascii="David" w:hAnsi="David" w:cs="David" w:hint="cs"/>
          <w:color w:val="000000" w:themeColor="text1"/>
          <w:rtl/>
          <w:lang w:bidi="he-IL"/>
        </w:rPr>
        <w:t xml:space="preserve">הנה-כי-כן, עניין לנו, לצערי הרב, במקרה קלאסי בו סמכות בית-הדין </w:t>
      </w:r>
      <w:r w:rsidR="005A4A2F" w:rsidRPr="00A53B8E">
        <w:rPr>
          <w:rFonts w:ascii="David" w:hAnsi="David" w:cs="David" w:hint="cs"/>
          <w:color w:val="000000" w:themeColor="text1"/>
          <w:rtl/>
          <w:lang w:bidi="he-IL"/>
        </w:rPr>
        <w:t xml:space="preserve">לפי סעיף 12(א) לנוהל בית-הדין </w:t>
      </w:r>
      <w:r w:rsidRPr="00A53B8E">
        <w:rPr>
          <w:rFonts w:ascii="David" w:hAnsi="David" w:cs="David" w:hint="cs"/>
          <w:color w:val="000000" w:themeColor="text1"/>
          <w:rtl/>
          <w:lang w:bidi="he-IL"/>
        </w:rPr>
        <w:t xml:space="preserve">הופכת מסמכות ברשות לסמכות חובה. שאם לא כן, לא זו </w:t>
      </w:r>
      <w:r w:rsidR="005A4A2F" w:rsidRPr="00A53B8E">
        <w:rPr>
          <w:rFonts w:ascii="David" w:hAnsi="David" w:cs="David" w:hint="cs"/>
          <w:color w:val="000000" w:themeColor="text1"/>
          <w:rtl/>
          <w:lang w:bidi="he-IL"/>
        </w:rPr>
        <w:t xml:space="preserve">בלבד </w:t>
      </w:r>
      <w:r w:rsidR="009E23AF" w:rsidRPr="00A53B8E">
        <w:rPr>
          <w:rFonts w:ascii="David" w:hAnsi="David" w:cs="David" w:hint="cs"/>
          <w:color w:val="000000" w:themeColor="text1"/>
          <w:rtl/>
          <w:lang w:bidi="he-IL"/>
        </w:rPr>
        <w:t>ש</w:t>
      </w:r>
      <w:r w:rsidRPr="00A53B8E">
        <w:rPr>
          <w:rFonts w:ascii="David" w:hAnsi="David" w:cs="David" w:hint="cs"/>
          <w:color w:val="000000" w:themeColor="text1"/>
          <w:rtl/>
          <w:lang w:bidi="he-IL"/>
        </w:rPr>
        <w:t>בית-הדין נוהג בחוסר סבירות קיצוני, במובנו המנהלי</w:t>
      </w:r>
      <w:r w:rsidR="009E23AF" w:rsidRPr="00A53B8E">
        <w:rPr>
          <w:rFonts w:ascii="David" w:hAnsi="David" w:cs="David" w:hint="cs"/>
          <w:color w:val="000000" w:themeColor="text1"/>
          <w:rtl/>
          <w:lang w:bidi="he-IL"/>
        </w:rPr>
        <w:t xml:space="preserve"> של הביטוי</w:t>
      </w:r>
      <w:r w:rsidRPr="00A53B8E">
        <w:rPr>
          <w:rFonts w:ascii="David" w:hAnsi="David" w:cs="David" w:hint="cs"/>
          <w:color w:val="000000" w:themeColor="text1"/>
          <w:rtl/>
          <w:lang w:bidi="he-IL"/>
        </w:rPr>
        <w:t>, כי אם מוסיף ומועל הוא באימון אשר ניתן לו על-ידי מועצת העיתונות והתקשורת בישראל</w:t>
      </w:r>
      <w:r w:rsidR="009E23AF" w:rsidRPr="00A53B8E">
        <w:rPr>
          <w:rFonts w:ascii="David" w:hAnsi="David" w:cs="David" w:hint="cs"/>
          <w:color w:val="000000" w:themeColor="text1"/>
          <w:rtl/>
          <w:lang w:bidi="he-IL"/>
        </w:rPr>
        <w:t xml:space="preserve"> </w:t>
      </w:r>
      <w:r w:rsidR="009E23AF" w:rsidRPr="00A53B8E">
        <w:rPr>
          <w:rFonts w:ascii="David" w:hAnsi="David" w:cs="David"/>
          <w:color w:val="000000" w:themeColor="text1"/>
          <w:rtl/>
          <w:lang w:bidi="he-IL"/>
        </w:rPr>
        <w:t>–</w:t>
      </w:r>
      <w:r w:rsidR="009E23AF" w:rsidRPr="00A53B8E">
        <w:rPr>
          <w:rFonts w:ascii="David" w:hAnsi="David" w:cs="David" w:hint="cs"/>
          <w:color w:val="000000" w:themeColor="text1"/>
          <w:rtl/>
          <w:lang w:bidi="he-IL"/>
        </w:rPr>
        <w:t xml:space="preserve"> וכנגזרת על-ידי גופי התקשורת והעיתונאים החברים בה </w:t>
      </w:r>
      <w:r w:rsidR="009E23AF" w:rsidRPr="00A53B8E">
        <w:rPr>
          <w:rFonts w:ascii="David" w:hAnsi="David" w:cs="David"/>
          <w:color w:val="000000" w:themeColor="text1"/>
          <w:rtl/>
          <w:lang w:bidi="he-IL"/>
        </w:rPr>
        <w:t>–</w:t>
      </w:r>
      <w:r w:rsidRPr="00A53B8E">
        <w:rPr>
          <w:rFonts w:ascii="David" w:hAnsi="David" w:cs="David" w:hint="cs"/>
          <w:color w:val="000000" w:themeColor="text1"/>
          <w:rtl/>
          <w:lang w:bidi="he-IL"/>
        </w:rPr>
        <w:t xml:space="preserve"> כמגן ערכי האתיקה המעוגנים בתקנון, ובכך אף מפר</w:t>
      </w:r>
      <w:r w:rsidR="009E23AF" w:rsidRPr="00A53B8E">
        <w:rPr>
          <w:rFonts w:ascii="David" w:hAnsi="David" w:cs="David" w:hint="cs"/>
          <w:color w:val="000000" w:themeColor="text1"/>
          <w:rtl/>
          <w:lang w:bidi="he-IL"/>
        </w:rPr>
        <w:t>,</w:t>
      </w:r>
      <w:r w:rsidRPr="00A53B8E">
        <w:rPr>
          <w:rFonts w:ascii="David" w:hAnsi="David" w:cs="David" w:hint="cs"/>
          <w:color w:val="000000" w:themeColor="text1"/>
          <w:rtl/>
          <w:lang w:bidi="he-IL"/>
        </w:rPr>
        <w:t xml:space="preserve"> הפרה יסודית</w:t>
      </w:r>
      <w:r w:rsidR="009E23AF" w:rsidRPr="00A53B8E">
        <w:rPr>
          <w:rFonts w:ascii="David" w:hAnsi="David" w:cs="David" w:hint="cs"/>
          <w:color w:val="000000" w:themeColor="text1"/>
          <w:rtl/>
          <w:lang w:bidi="he-IL"/>
        </w:rPr>
        <w:t>,</w:t>
      </w:r>
      <w:r w:rsidRPr="00A53B8E">
        <w:rPr>
          <w:rFonts w:ascii="David" w:hAnsi="David" w:cs="David" w:hint="cs"/>
          <w:color w:val="000000" w:themeColor="text1"/>
          <w:rtl/>
          <w:lang w:bidi="he-IL"/>
        </w:rPr>
        <w:t xml:space="preserve"> את התנאים המוסכמים המונחים ביסוד הקמתו על-ידי מועצת העיתונות והתקשורת לשם אכיפת ההפרות האתיות ואף קיום הסמכויות הנלוות כפי שאלה נלמדות גם </w:t>
      </w:r>
      <w:r w:rsidR="009E23AF" w:rsidRPr="00A53B8E">
        <w:rPr>
          <w:rFonts w:ascii="David" w:hAnsi="David" w:cs="David" w:hint="cs"/>
          <w:color w:val="000000" w:themeColor="text1"/>
          <w:rtl/>
          <w:lang w:bidi="he-IL"/>
        </w:rPr>
        <w:t>מ</w:t>
      </w:r>
      <w:r w:rsidRPr="00A53B8E">
        <w:rPr>
          <w:rFonts w:ascii="David" w:hAnsi="David" w:cs="David" w:hint="cs"/>
          <w:color w:val="000000" w:themeColor="text1"/>
          <w:rtl/>
          <w:lang w:bidi="he-IL"/>
        </w:rPr>
        <w:t>נוהל בית-הדין.</w:t>
      </w:r>
    </w:p>
    <w:p w14:paraId="2CFE0C14" w14:textId="02C642CE" w:rsidR="00414AC8" w:rsidRPr="00A53B8E" w:rsidRDefault="00EF737A" w:rsidP="00414AC8">
      <w:pPr>
        <w:pStyle w:val="a3"/>
        <w:numPr>
          <w:ilvl w:val="0"/>
          <w:numId w:val="1"/>
        </w:numPr>
        <w:bidi/>
        <w:spacing w:line="360" w:lineRule="auto"/>
        <w:jc w:val="both"/>
        <w:rPr>
          <w:rFonts w:ascii="David" w:hAnsi="David" w:cs="David"/>
          <w:color w:val="000000" w:themeColor="text1"/>
          <w:rtl/>
          <w:lang w:bidi="he-IL"/>
        </w:rPr>
      </w:pPr>
      <w:r w:rsidRPr="00A53B8E">
        <w:rPr>
          <w:rFonts w:ascii="David" w:hAnsi="David" w:cs="David" w:hint="cs"/>
          <w:color w:val="000000" w:themeColor="text1"/>
          <w:rtl/>
          <w:lang w:bidi="he-IL"/>
        </w:rPr>
        <w:lastRenderedPageBreak/>
        <w:t>אומנם, מוזס, ככל נאשם בפלילים נהנה מחזקת החפות, במובן זה שהוא זכאי כל עוד לא הוכחה אשמתו מעבר לספק סביר (</w:t>
      </w:r>
      <w:r w:rsidRPr="00A53B8E">
        <w:rPr>
          <w:rFonts w:ascii="David" w:hAnsi="David" w:cs="David" w:hint="cs"/>
          <w:b/>
          <w:bCs/>
          <w:color w:val="000000" w:themeColor="text1"/>
          <w:rtl/>
          <w:lang w:bidi="he-IL"/>
        </w:rPr>
        <w:t>ראו:</w:t>
      </w:r>
      <w:r w:rsidRPr="00A53B8E">
        <w:rPr>
          <w:rFonts w:ascii="David" w:hAnsi="David" w:cs="David" w:hint="cs"/>
          <w:color w:val="000000" w:themeColor="text1"/>
          <w:rtl/>
          <w:lang w:bidi="he-IL"/>
        </w:rPr>
        <w:t xml:space="preserve"> 34כב(א) לחוק העונשין, תשל״ז-1977)). ברם, מושכלות ראשוניים הם</w:t>
      </w:r>
      <w:r w:rsidR="00414AC8" w:rsidRPr="00A53B8E">
        <w:rPr>
          <w:rFonts w:ascii="David" w:hAnsi="David" w:cs="David" w:hint="cs"/>
          <w:color w:val="000000" w:themeColor="text1"/>
          <w:rtl/>
          <w:lang w:bidi="he-IL"/>
        </w:rPr>
        <w:t xml:space="preserve"> כי מבחינה ראייתית, המשמעות המעשית של הגשת כתב אישום בפלילים היא קיומו של מסד ראייתי המבסס סיכוי סביר להרשעה </w:t>
      </w:r>
      <w:r w:rsidRPr="00A53B8E">
        <w:rPr>
          <w:rFonts w:ascii="David" w:hAnsi="David" w:cs="David" w:hint="cs"/>
          <w:color w:val="000000" w:themeColor="text1"/>
          <w:rtl/>
          <w:lang w:bidi="he-IL"/>
        </w:rPr>
        <w:t xml:space="preserve"> (</w:t>
      </w:r>
      <w:r w:rsidRPr="00A53B8E">
        <w:rPr>
          <w:rFonts w:ascii="David" w:hAnsi="David" w:cs="David" w:hint="cs"/>
          <w:b/>
          <w:bCs/>
          <w:color w:val="000000" w:themeColor="text1"/>
          <w:rtl/>
          <w:lang w:bidi="he-IL"/>
        </w:rPr>
        <w:t>ראו:</w:t>
      </w:r>
      <w:r w:rsidRPr="00A53B8E">
        <w:rPr>
          <w:rFonts w:ascii="David" w:hAnsi="David" w:cs="David" w:hint="cs"/>
          <w:color w:val="000000" w:themeColor="text1"/>
          <w:rtl/>
          <w:lang w:bidi="he-IL"/>
        </w:rPr>
        <w:t xml:space="preserve"> בג״ץ 2534/97 </w:t>
      </w:r>
      <w:r w:rsidRPr="00A53B8E">
        <w:rPr>
          <w:rFonts w:ascii="David" w:hAnsi="David" w:cs="David" w:hint="cs"/>
          <w:b/>
          <w:bCs/>
          <w:color w:val="000000" w:themeColor="text1"/>
          <w:rtl/>
          <w:lang w:bidi="he-IL"/>
        </w:rPr>
        <w:t>יהב</w:t>
      </w:r>
      <w:r w:rsidRPr="00A53B8E">
        <w:rPr>
          <w:rFonts w:ascii="David" w:hAnsi="David" w:cs="David" w:hint="cs"/>
          <w:color w:val="000000" w:themeColor="text1"/>
          <w:rtl/>
          <w:lang w:bidi="he-IL"/>
        </w:rPr>
        <w:t xml:space="preserve"> נ׳ </w:t>
      </w:r>
      <w:r w:rsidRPr="00A53B8E">
        <w:rPr>
          <w:rFonts w:ascii="David" w:hAnsi="David" w:cs="David" w:hint="cs"/>
          <w:b/>
          <w:bCs/>
          <w:color w:val="000000" w:themeColor="text1"/>
          <w:rtl/>
          <w:lang w:bidi="he-IL"/>
        </w:rPr>
        <w:t>פרקליטות המדינה</w:t>
      </w:r>
      <w:r w:rsidRPr="00A53B8E">
        <w:rPr>
          <w:rFonts w:ascii="David" w:hAnsi="David" w:cs="David" w:hint="cs"/>
          <w:color w:val="000000" w:themeColor="text1"/>
          <w:rtl/>
          <w:lang w:bidi="he-IL"/>
        </w:rPr>
        <w:t>, פ״ד נא(א) 1, 10).</w:t>
      </w:r>
      <w:r w:rsidR="00414AC8" w:rsidRPr="00A53B8E">
        <w:rPr>
          <w:rFonts w:ascii="David" w:hAnsi="David" w:cs="David" w:hint="cs"/>
          <w:color w:val="000000" w:themeColor="text1"/>
          <w:rtl/>
          <w:lang w:bidi="he-IL"/>
        </w:rPr>
        <w:t xml:space="preserve"> </w:t>
      </w:r>
      <w:r w:rsidR="00F82677" w:rsidRPr="00A53B8E">
        <w:rPr>
          <w:rFonts w:ascii="David" w:hAnsi="David" w:cs="David" w:hint="cs"/>
          <w:color w:val="000000" w:themeColor="text1"/>
          <w:rtl/>
          <w:lang w:bidi="he-IL"/>
        </w:rPr>
        <w:t xml:space="preserve">עוד יש לזכור ולהזכיר, כי </w:t>
      </w:r>
      <w:r w:rsidR="00414AC8" w:rsidRPr="00A53B8E">
        <w:rPr>
          <w:rFonts w:ascii="David" w:hAnsi="David" w:cs="David" w:hint="cs"/>
          <w:color w:val="000000" w:themeColor="text1"/>
          <w:rtl/>
          <w:lang w:bidi="he-IL"/>
        </w:rPr>
        <w:t>כוחה של חזק</w:t>
      </w:r>
      <w:r w:rsidR="00F82677" w:rsidRPr="00A53B8E">
        <w:rPr>
          <w:rFonts w:ascii="David" w:hAnsi="David" w:cs="David" w:hint="cs"/>
          <w:color w:val="000000" w:themeColor="text1"/>
          <w:rtl/>
          <w:lang w:bidi="he-IL"/>
        </w:rPr>
        <w:t xml:space="preserve">ת החפות יפה ביחס </w:t>
      </w:r>
      <w:r w:rsidR="00414AC8" w:rsidRPr="00A53B8E">
        <w:rPr>
          <w:rFonts w:ascii="David" w:hAnsi="David" w:cs="David" w:hint="cs"/>
          <w:color w:val="000000" w:themeColor="text1"/>
          <w:rtl/>
          <w:lang w:bidi="he-IL"/>
        </w:rPr>
        <w:t>להליך הפלילי</w:t>
      </w:r>
      <w:r w:rsidR="00F82677" w:rsidRPr="00A53B8E">
        <w:rPr>
          <w:rFonts w:ascii="David" w:hAnsi="David" w:cs="David" w:hint="cs"/>
          <w:color w:val="000000" w:themeColor="text1"/>
          <w:rtl/>
          <w:lang w:bidi="he-IL"/>
        </w:rPr>
        <w:t>,</w:t>
      </w:r>
      <w:r w:rsidR="00414AC8" w:rsidRPr="00A53B8E">
        <w:rPr>
          <w:rFonts w:ascii="David" w:hAnsi="David" w:cs="David" w:hint="cs"/>
          <w:color w:val="000000" w:themeColor="text1"/>
          <w:rtl/>
          <w:lang w:bidi="he-IL"/>
        </w:rPr>
        <w:t xml:space="preserve"> ו</w:t>
      </w:r>
      <w:r w:rsidR="00F82677" w:rsidRPr="00A53B8E">
        <w:rPr>
          <w:rFonts w:ascii="David" w:hAnsi="David" w:cs="David" w:hint="cs"/>
          <w:color w:val="000000" w:themeColor="text1"/>
          <w:rtl/>
          <w:lang w:bidi="he-IL"/>
        </w:rPr>
        <w:t xml:space="preserve">מכל מקום </w:t>
      </w:r>
      <w:r w:rsidR="00414AC8" w:rsidRPr="00A53B8E">
        <w:rPr>
          <w:rFonts w:ascii="David" w:hAnsi="David" w:cs="David" w:hint="cs"/>
          <w:color w:val="000000" w:themeColor="text1"/>
          <w:rtl/>
          <w:lang w:bidi="he-IL"/>
        </w:rPr>
        <w:t>לא להיבטים הציבוריים והאתיים האופ</w:t>
      </w:r>
      <w:r w:rsidR="00D02144">
        <w:rPr>
          <w:rFonts w:ascii="David" w:hAnsi="David" w:cs="David" w:hint="cs"/>
          <w:color w:val="000000" w:themeColor="text1"/>
          <w:rtl/>
          <w:lang w:bidi="he-IL"/>
        </w:rPr>
        <w:t>פ</w:t>
      </w:r>
      <w:r w:rsidR="00414AC8" w:rsidRPr="00A53B8E">
        <w:rPr>
          <w:rFonts w:ascii="David" w:hAnsi="David" w:cs="David" w:hint="cs"/>
          <w:color w:val="000000" w:themeColor="text1"/>
          <w:rtl/>
          <w:lang w:bidi="he-IL"/>
        </w:rPr>
        <w:t xml:space="preserve">ים </w:t>
      </w:r>
      <w:r w:rsidR="00F82677" w:rsidRPr="00A53B8E">
        <w:rPr>
          <w:rFonts w:ascii="David" w:hAnsi="David" w:cs="David" w:hint="cs"/>
          <w:color w:val="000000" w:themeColor="text1"/>
          <w:rtl/>
          <w:lang w:bidi="he-IL"/>
        </w:rPr>
        <w:t xml:space="preserve">את הפרשה המונחת בפנינו. התעלמות בית-הדין </w:t>
      </w:r>
      <w:r w:rsidR="009E23AF" w:rsidRPr="00A53B8E">
        <w:rPr>
          <w:rFonts w:ascii="David" w:hAnsi="David" w:cs="David" w:hint="cs"/>
          <w:color w:val="000000" w:themeColor="text1"/>
          <w:rtl/>
          <w:lang w:bidi="he-IL"/>
        </w:rPr>
        <w:t xml:space="preserve">מכתב האישום נגד מוזס </w:t>
      </w:r>
      <w:r w:rsidR="00F82677" w:rsidRPr="00A53B8E">
        <w:rPr>
          <w:rFonts w:ascii="David" w:hAnsi="David" w:cs="David" w:hint="cs"/>
          <w:color w:val="000000" w:themeColor="text1"/>
          <w:rtl/>
          <w:lang w:bidi="he-IL"/>
        </w:rPr>
        <w:t>משמע</w:t>
      </w:r>
      <w:r w:rsidR="009E23AF" w:rsidRPr="00A53B8E">
        <w:rPr>
          <w:rFonts w:ascii="David" w:hAnsi="David" w:cs="David" w:hint="cs"/>
          <w:color w:val="000000" w:themeColor="text1"/>
          <w:rtl/>
          <w:lang w:bidi="he-IL"/>
        </w:rPr>
        <w:t>ה</w:t>
      </w:r>
      <w:r w:rsidR="00F82677" w:rsidRPr="00A53B8E">
        <w:rPr>
          <w:rFonts w:ascii="David" w:hAnsi="David" w:cs="David" w:hint="cs"/>
          <w:color w:val="000000" w:themeColor="text1"/>
          <w:rtl/>
          <w:lang w:bidi="he-IL"/>
        </w:rPr>
        <w:t xml:space="preserve"> לא רק התעלמות בלתי מבוססת מהמסד הראייתי (סיכוי סביר ל</w:t>
      </w:r>
      <w:r w:rsidR="009E23AF" w:rsidRPr="00A53B8E">
        <w:rPr>
          <w:rFonts w:ascii="David" w:hAnsi="David" w:cs="David" w:hint="cs"/>
          <w:color w:val="000000" w:themeColor="text1"/>
          <w:rtl/>
          <w:lang w:bidi="he-IL"/>
        </w:rPr>
        <w:t>ה</w:t>
      </w:r>
      <w:r w:rsidR="00F82677" w:rsidRPr="00A53B8E">
        <w:rPr>
          <w:rFonts w:ascii="David" w:hAnsi="David" w:cs="David" w:hint="cs"/>
          <w:color w:val="000000" w:themeColor="text1"/>
          <w:rtl/>
          <w:lang w:bidi="he-IL"/>
        </w:rPr>
        <w:t>רשעה) עליו עומד כתב האישום, כי אם גם התעלמות בלתי סבירה, באופן קיצוני, מכוחו של מוזס להשתמש בכוחו הרב, כעורך ראשי של המשיבה 1, בין היתר, ביחס לאופן סיקור הפרשה מושא כתב האישום עצמו.</w:t>
      </w:r>
    </w:p>
    <w:p w14:paraId="7C2DB8F2" w14:textId="5AD68798" w:rsidR="002A3ACA" w:rsidRPr="002A3ACA" w:rsidRDefault="002A3ACA" w:rsidP="007F4925">
      <w:pPr>
        <w:pStyle w:val="a3"/>
        <w:numPr>
          <w:ilvl w:val="0"/>
          <w:numId w:val="1"/>
        </w:numPr>
        <w:bidi/>
        <w:spacing w:line="360" w:lineRule="auto"/>
        <w:jc w:val="both"/>
        <w:rPr>
          <w:rFonts w:ascii="David" w:hAnsi="David" w:cs="David"/>
          <w:b/>
          <w:bCs/>
          <w:u w:val="single"/>
          <w:lang w:bidi="he-IL"/>
        </w:rPr>
      </w:pPr>
      <w:r w:rsidRPr="00A53B8E">
        <w:rPr>
          <w:rFonts w:ascii="David" w:hAnsi="David" w:cs="David" w:hint="cs"/>
          <w:rtl/>
          <w:lang w:bidi="he-IL"/>
        </w:rPr>
        <w:t>ב</w:t>
      </w:r>
      <w:r>
        <w:rPr>
          <w:rFonts w:ascii="David" w:hAnsi="David" w:cs="David" w:hint="cs"/>
          <w:rtl/>
          <w:lang w:bidi="he-IL"/>
        </w:rPr>
        <w:t xml:space="preserve">טרם נעילה אוסיף, כי </w:t>
      </w:r>
      <w:r w:rsidRPr="00A53B8E">
        <w:rPr>
          <w:rFonts w:ascii="David" w:hAnsi="David" w:cs="David" w:hint="cs"/>
          <w:rtl/>
          <w:lang w:bidi="he-IL"/>
        </w:rPr>
        <w:t xml:space="preserve">יש להביע צער גדול ביחס להתנהגות המשיבים אשר בחרו שלא להתייצב לדיונים בפני בית-הדין </w:t>
      </w:r>
      <w:r w:rsidRPr="00A53B8E">
        <w:rPr>
          <w:rFonts w:ascii="David" w:hAnsi="David" w:cs="David"/>
          <w:rtl/>
          <w:lang w:bidi="he-IL"/>
        </w:rPr>
        <w:t>–</w:t>
      </w:r>
      <w:r w:rsidRPr="00A53B8E">
        <w:rPr>
          <w:rFonts w:ascii="David" w:hAnsi="David" w:cs="David" w:hint="cs"/>
          <w:rtl/>
          <w:lang w:bidi="he-IL"/>
        </w:rPr>
        <w:t xml:space="preserve"> הן בפני הערכאה הדיונית </w:t>
      </w:r>
      <w:r w:rsidR="002572BB">
        <w:rPr>
          <w:rFonts w:ascii="David" w:hAnsi="David" w:cs="David" w:hint="cs"/>
          <w:rtl/>
          <w:lang w:bidi="he-IL"/>
        </w:rPr>
        <w:t>ו</w:t>
      </w:r>
      <w:r w:rsidRPr="00A53B8E">
        <w:rPr>
          <w:rFonts w:ascii="David" w:hAnsi="David" w:cs="David" w:hint="cs"/>
          <w:rtl/>
          <w:lang w:bidi="he-IL"/>
        </w:rPr>
        <w:t xml:space="preserve">הן בפני ערכאת הערעור </w:t>
      </w:r>
      <w:r w:rsidRPr="00A53B8E">
        <w:rPr>
          <w:rFonts w:ascii="David" w:hAnsi="David" w:cs="David"/>
          <w:rtl/>
          <w:lang w:bidi="he-IL"/>
        </w:rPr>
        <w:t>–</w:t>
      </w:r>
      <w:r w:rsidRPr="00A53B8E">
        <w:rPr>
          <w:rFonts w:ascii="David" w:hAnsi="David" w:cs="David" w:hint="cs"/>
          <w:rtl/>
          <w:lang w:bidi="he-IL"/>
        </w:rPr>
        <w:t xml:space="preserve"> תוך התעלמות מופגנת מההליכים המתנהלים נגדם. התנהגות זו כשלעצמה היא התנהגות בלתי אתית בעליל, המשקפת זלזול בבית-הדין ובדיני האתיקה המונחים ביסוד הקמתו. כיבוד כללי האתיקה, לרבות המוסדות האמונים על אכיפתם, הוא צו קטיגורי החל באופן מוחלט, ללא כל סייג, על כל אדם ו/או גוף העוסק בעבודה עיתונאית. בהיעדרם מדיוני בית-הדין, המשיבים בחרו לעשות דין לעצמם, ואם אדוק פורתא- הם בחרו להציב </w:t>
      </w:r>
      <w:r w:rsidR="00E91A18">
        <w:rPr>
          <w:rFonts w:ascii="David" w:hAnsi="David" w:cs="David" w:hint="cs"/>
          <w:rtl/>
          <w:lang w:bidi="he-IL"/>
        </w:rPr>
        <w:t xml:space="preserve">את </w:t>
      </w:r>
      <w:r w:rsidRPr="00A53B8E">
        <w:rPr>
          <w:rFonts w:ascii="David" w:hAnsi="David" w:cs="David" w:hint="cs"/>
          <w:rtl/>
          <w:lang w:bidi="he-IL"/>
        </w:rPr>
        <w:t>עצמם מעל לכללי האתיקה. התנהגות זו ראויה לכל גינוי והוקעה.</w:t>
      </w:r>
    </w:p>
    <w:p w14:paraId="0EA9F65E" w14:textId="47597144" w:rsidR="006C34ED" w:rsidRPr="00A53B8E" w:rsidRDefault="007E4E11" w:rsidP="002A3ACA">
      <w:pPr>
        <w:pStyle w:val="a3"/>
        <w:numPr>
          <w:ilvl w:val="0"/>
          <w:numId w:val="1"/>
        </w:numPr>
        <w:bidi/>
        <w:spacing w:line="360" w:lineRule="auto"/>
        <w:jc w:val="both"/>
        <w:rPr>
          <w:rFonts w:ascii="David" w:hAnsi="David" w:cs="David"/>
          <w:b/>
          <w:bCs/>
          <w:color w:val="000000" w:themeColor="text1"/>
          <w:lang w:bidi="he-IL"/>
        </w:rPr>
      </w:pPr>
      <w:r w:rsidRPr="00A53B8E">
        <w:rPr>
          <w:rFonts w:ascii="David" w:hAnsi="David" w:cs="David" w:hint="cs"/>
          <w:b/>
          <w:bCs/>
          <w:color w:val="000000" w:themeColor="text1"/>
          <w:rtl/>
          <w:lang w:bidi="he-IL"/>
        </w:rPr>
        <w:t xml:space="preserve">סיכומו דבר הוא, </w:t>
      </w:r>
      <w:r w:rsidR="00FB19A7" w:rsidRPr="00A53B8E">
        <w:rPr>
          <w:rFonts w:ascii="David" w:hAnsi="David" w:cs="David" w:hint="cs"/>
          <w:b/>
          <w:bCs/>
          <w:color w:val="000000" w:themeColor="text1"/>
          <w:rtl/>
          <w:lang w:bidi="he-IL"/>
        </w:rPr>
        <w:t xml:space="preserve">אני </w:t>
      </w:r>
      <w:r w:rsidR="005565B5" w:rsidRPr="00A53B8E">
        <w:rPr>
          <w:rFonts w:ascii="David" w:hAnsi="David" w:cs="David" w:hint="cs"/>
          <w:b/>
          <w:bCs/>
          <w:color w:val="000000" w:themeColor="text1"/>
          <w:rtl/>
          <w:lang w:bidi="he-IL"/>
        </w:rPr>
        <w:t>מקבל</w:t>
      </w:r>
      <w:r w:rsidR="00FB19A7" w:rsidRPr="00A53B8E">
        <w:rPr>
          <w:rFonts w:ascii="David" w:hAnsi="David" w:cs="David" w:hint="cs"/>
          <w:b/>
          <w:bCs/>
          <w:color w:val="000000" w:themeColor="text1"/>
          <w:rtl/>
          <w:lang w:bidi="he-IL"/>
        </w:rPr>
        <w:t xml:space="preserve"> את הערעור במובן זה</w:t>
      </w:r>
      <w:r w:rsidR="005565B5" w:rsidRPr="00A53B8E">
        <w:rPr>
          <w:rFonts w:ascii="David" w:hAnsi="David" w:cs="David" w:hint="cs"/>
          <w:b/>
          <w:bCs/>
          <w:color w:val="000000" w:themeColor="text1"/>
          <w:rtl/>
          <w:lang w:bidi="he-IL"/>
        </w:rPr>
        <w:t xml:space="preserve"> שאני מפעיל את סמכות בית-הדין לפי סעיף 12(א)</w:t>
      </w:r>
      <w:r w:rsidR="005565B5" w:rsidRPr="00A53B8E">
        <w:rPr>
          <w:rFonts w:ascii="David" w:hAnsi="David" w:cs="David" w:hint="cs"/>
          <w:b/>
          <w:bCs/>
          <w:color w:val="000000" w:themeColor="text1"/>
          <w:lang w:bidi="he-IL"/>
        </w:rPr>
        <w:t xml:space="preserve"> </w:t>
      </w:r>
      <w:r w:rsidR="005565B5" w:rsidRPr="00A53B8E">
        <w:rPr>
          <w:rFonts w:ascii="David" w:hAnsi="David" w:cs="David" w:hint="cs"/>
          <w:b/>
          <w:bCs/>
          <w:color w:val="000000" w:themeColor="text1"/>
          <w:rtl/>
          <w:lang w:bidi="he-IL"/>
        </w:rPr>
        <w:t>לנוהל בית-הדין, ובהתאם</w:t>
      </w:r>
      <w:r w:rsidR="006C34ED" w:rsidRPr="00A53B8E">
        <w:rPr>
          <w:rFonts w:ascii="David" w:hAnsi="David" w:cs="David" w:hint="cs"/>
          <w:b/>
          <w:bCs/>
          <w:color w:val="000000" w:themeColor="text1"/>
          <w:rtl/>
          <w:lang w:bidi="he-IL"/>
        </w:rPr>
        <w:t>:</w:t>
      </w:r>
      <w:r w:rsidR="005565B5" w:rsidRPr="00A53B8E">
        <w:rPr>
          <w:rFonts w:ascii="David" w:hAnsi="David" w:cs="David" w:hint="cs"/>
          <w:b/>
          <w:bCs/>
          <w:color w:val="000000" w:themeColor="text1"/>
          <w:rtl/>
          <w:lang w:bidi="he-IL"/>
        </w:rPr>
        <w:t xml:space="preserve"> </w:t>
      </w:r>
    </w:p>
    <w:p w14:paraId="58ECEB0C" w14:textId="15827DA9" w:rsidR="006C34ED" w:rsidRPr="00A53B8E" w:rsidRDefault="005565B5" w:rsidP="006C34ED">
      <w:pPr>
        <w:pStyle w:val="a3"/>
        <w:numPr>
          <w:ilvl w:val="0"/>
          <w:numId w:val="20"/>
        </w:numPr>
        <w:bidi/>
        <w:spacing w:line="360" w:lineRule="auto"/>
        <w:jc w:val="both"/>
        <w:rPr>
          <w:rFonts w:ascii="David" w:hAnsi="David" w:cs="David"/>
          <w:b/>
          <w:bCs/>
          <w:color w:val="000000" w:themeColor="text1"/>
          <w:lang w:bidi="he-IL"/>
        </w:rPr>
      </w:pPr>
      <w:r w:rsidRPr="00A53B8E">
        <w:rPr>
          <w:rFonts w:ascii="David" w:hAnsi="David" w:cs="David" w:hint="cs"/>
          <w:b/>
          <w:bCs/>
          <w:color w:val="000000" w:themeColor="text1"/>
          <w:rtl/>
          <w:lang w:bidi="he-IL"/>
        </w:rPr>
        <w:t xml:space="preserve">אני מורה למשיבה 1 להשעות את מוזס מעבודתו העיתונאית עד להכרעה הסופית בהליך הפלילי המתנהל נגדו בפרשת 2000. </w:t>
      </w:r>
    </w:p>
    <w:p w14:paraId="6C2BC102" w14:textId="3042F29E" w:rsidR="005565B5" w:rsidRPr="00A53B8E" w:rsidRDefault="005565B5" w:rsidP="006C34ED">
      <w:pPr>
        <w:pStyle w:val="a3"/>
        <w:numPr>
          <w:ilvl w:val="0"/>
          <w:numId w:val="20"/>
        </w:numPr>
        <w:bidi/>
        <w:spacing w:line="360" w:lineRule="auto"/>
        <w:jc w:val="both"/>
        <w:rPr>
          <w:rFonts w:ascii="David" w:hAnsi="David" w:cs="David"/>
          <w:b/>
          <w:bCs/>
          <w:color w:val="000000" w:themeColor="text1"/>
          <w:lang w:bidi="he-IL"/>
        </w:rPr>
      </w:pPr>
      <w:r w:rsidRPr="00E14D32">
        <w:rPr>
          <w:rFonts w:ascii="David" w:hAnsi="David" w:cs="David" w:hint="cs"/>
          <w:b/>
          <w:bCs/>
          <w:color w:val="000000" w:themeColor="text1"/>
          <w:rtl/>
          <w:lang w:bidi="he-IL"/>
        </w:rPr>
        <w:t>בנוסף</w:t>
      </w:r>
      <w:r w:rsidRPr="00A53B8E">
        <w:rPr>
          <w:rFonts w:ascii="David" w:hAnsi="David" w:cs="David" w:hint="cs"/>
          <w:b/>
          <w:bCs/>
          <w:color w:val="000000" w:themeColor="text1"/>
          <w:rtl/>
          <w:lang w:bidi="he-IL"/>
        </w:rPr>
        <w:t>, בהתאם לסעיף 10(א) לנוהל בית-הדין</w:t>
      </w:r>
      <w:r w:rsidR="006C34ED" w:rsidRPr="00A53B8E">
        <w:rPr>
          <w:rFonts w:ascii="David" w:hAnsi="David" w:cs="David" w:hint="cs"/>
          <w:b/>
          <w:bCs/>
          <w:color w:val="000000" w:themeColor="text1"/>
          <w:rtl/>
          <w:lang w:bidi="he-IL"/>
        </w:rPr>
        <w:t>,</w:t>
      </w:r>
      <w:r w:rsidRPr="00A53B8E">
        <w:rPr>
          <w:rFonts w:ascii="David" w:hAnsi="David" w:cs="David" w:hint="cs"/>
          <w:b/>
          <w:bCs/>
          <w:color w:val="000000" w:themeColor="text1"/>
          <w:rtl/>
          <w:lang w:bidi="he-IL"/>
        </w:rPr>
        <w:t xml:space="preserve"> אני מורה על פרסום </w:t>
      </w:r>
      <w:r w:rsidR="00FB376E">
        <w:rPr>
          <w:rFonts w:ascii="David" w:hAnsi="David" w:cs="David" w:hint="cs"/>
          <w:b/>
          <w:bCs/>
          <w:color w:val="000000" w:themeColor="text1"/>
          <w:rtl/>
          <w:lang w:bidi="he-IL"/>
        </w:rPr>
        <w:t>פסק-דין</w:t>
      </w:r>
      <w:r w:rsidRPr="00A53B8E">
        <w:rPr>
          <w:rFonts w:ascii="David" w:hAnsi="David" w:cs="David" w:hint="cs"/>
          <w:b/>
          <w:bCs/>
          <w:color w:val="000000" w:themeColor="text1"/>
          <w:rtl/>
          <w:lang w:bidi="he-IL"/>
        </w:rPr>
        <w:t xml:space="preserve"> ז</w:t>
      </w:r>
      <w:r w:rsidR="00FB376E">
        <w:rPr>
          <w:rFonts w:ascii="David" w:hAnsi="David" w:cs="David" w:hint="cs"/>
          <w:b/>
          <w:bCs/>
          <w:color w:val="000000" w:themeColor="text1"/>
          <w:rtl/>
          <w:lang w:bidi="he-IL"/>
        </w:rPr>
        <w:t>ה</w:t>
      </w:r>
      <w:r w:rsidRPr="00A53B8E">
        <w:rPr>
          <w:rFonts w:ascii="David" w:hAnsi="David" w:cs="David" w:hint="cs"/>
          <w:b/>
          <w:bCs/>
          <w:color w:val="000000" w:themeColor="text1"/>
          <w:rtl/>
          <w:lang w:bidi="he-IL"/>
        </w:rPr>
        <w:t xml:space="preserve"> באמצעי התקשורת, בהקדם האפשרי ובהבלטה הראויה.  </w:t>
      </w:r>
    </w:p>
    <w:p w14:paraId="1600A358" w14:textId="495E44CB" w:rsidR="005565B5" w:rsidRPr="00A53B8E" w:rsidRDefault="005565B5" w:rsidP="005565B5">
      <w:pPr>
        <w:bidi/>
        <w:spacing w:line="360" w:lineRule="auto"/>
        <w:jc w:val="both"/>
        <w:rPr>
          <w:rFonts w:ascii="David" w:hAnsi="David" w:cs="David"/>
          <w:b/>
          <w:bCs/>
          <w:color w:val="000000" w:themeColor="text1"/>
          <w:rtl/>
          <w:lang w:bidi="he-IL"/>
        </w:rPr>
      </w:pPr>
    </w:p>
    <w:p w14:paraId="53A7544E" w14:textId="1BC749CC" w:rsidR="005565B5" w:rsidRPr="00A53B8E" w:rsidRDefault="005565B5" w:rsidP="005565B5">
      <w:pPr>
        <w:bidi/>
        <w:spacing w:line="360" w:lineRule="auto"/>
        <w:jc w:val="both"/>
        <w:rPr>
          <w:rFonts w:ascii="David" w:hAnsi="David" w:cs="David"/>
          <w:b/>
          <w:bCs/>
          <w:sz w:val="28"/>
          <w:szCs w:val="28"/>
          <w:u w:val="single"/>
          <w:rtl/>
          <w:lang w:bidi="he-IL"/>
        </w:rPr>
      </w:pPr>
      <w:r w:rsidRPr="00A53B8E">
        <w:rPr>
          <w:rFonts w:ascii="David" w:hAnsi="David" w:cs="David" w:hint="cs"/>
          <w:b/>
          <w:bCs/>
          <w:sz w:val="28"/>
          <w:szCs w:val="28"/>
          <w:u w:val="single"/>
          <w:rtl/>
          <w:lang w:bidi="he-IL"/>
        </w:rPr>
        <w:t>השופטת (בדימוס) זיוה הדסי-הרמן</w:t>
      </w:r>
    </w:p>
    <w:p w14:paraId="0036C46B" w14:textId="6DEDBC34" w:rsidR="005565B5" w:rsidRPr="002A3ACA" w:rsidRDefault="002A3ACA" w:rsidP="005565B5">
      <w:pPr>
        <w:bidi/>
        <w:spacing w:line="360" w:lineRule="auto"/>
        <w:jc w:val="both"/>
        <w:rPr>
          <w:rFonts w:ascii="David" w:hAnsi="David" w:cs="David"/>
          <w:rtl/>
          <w:lang w:bidi="he-IL"/>
        </w:rPr>
      </w:pPr>
      <w:r>
        <w:rPr>
          <w:rFonts w:ascii="David" w:hAnsi="David" w:cs="David" w:hint="cs"/>
          <w:rtl/>
          <w:lang w:bidi="he-IL"/>
        </w:rPr>
        <w:t>אני מסכימה לפסק-דינו של אב בית-הדין על כל נימוקיו.</w:t>
      </w:r>
    </w:p>
    <w:p w14:paraId="654DC541" w14:textId="77777777" w:rsidR="002A3ACA" w:rsidRPr="00A53B8E" w:rsidRDefault="002A3ACA" w:rsidP="002A3ACA">
      <w:pPr>
        <w:bidi/>
        <w:spacing w:line="360" w:lineRule="auto"/>
        <w:jc w:val="both"/>
        <w:rPr>
          <w:rFonts w:ascii="David" w:hAnsi="David" w:cs="David"/>
          <w:rtl/>
          <w:lang w:bidi="he-IL"/>
        </w:rPr>
      </w:pPr>
    </w:p>
    <w:p w14:paraId="2B1AED32" w14:textId="36E161CB" w:rsidR="005565B5" w:rsidRDefault="005565B5" w:rsidP="005565B5">
      <w:pPr>
        <w:bidi/>
        <w:spacing w:line="360" w:lineRule="auto"/>
        <w:jc w:val="both"/>
        <w:rPr>
          <w:rFonts w:ascii="David" w:hAnsi="David" w:cs="David"/>
          <w:b/>
          <w:bCs/>
          <w:sz w:val="28"/>
          <w:szCs w:val="28"/>
          <w:u w:val="single"/>
          <w:rtl/>
          <w:lang w:bidi="he-IL"/>
        </w:rPr>
      </w:pPr>
      <w:r w:rsidRPr="00A53B8E">
        <w:rPr>
          <w:rFonts w:ascii="David" w:hAnsi="David" w:cs="David" w:hint="cs"/>
          <w:b/>
          <w:bCs/>
          <w:sz w:val="28"/>
          <w:szCs w:val="28"/>
          <w:u w:val="single"/>
          <w:rtl/>
          <w:lang w:bidi="he-IL"/>
        </w:rPr>
        <w:t>עו״ד עצמון</w:t>
      </w:r>
      <w:r w:rsidR="005E764A">
        <w:rPr>
          <w:rFonts w:ascii="David" w:hAnsi="David" w:cs="David" w:hint="cs"/>
          <w:b/>
          <w:bCs/>
          <w:sz w:val="28"/>
          <w:szCs w:val="28"/>
          <w:u w:val="single"/>
          <w:rtl/>
          <w:lang w:bidi="he-IL"/>
        </w:rPr>
        <w:t xml:space="preserve"> יניב</w:t>
      </w:r>
    </w:p>
    <w:p w14:paraId="4454A97B" w14:textId="77777777" w:rsidR="005E764A" w:rsidRDefault="005E764A" w:rsidP="005E764A">
      <w:pPr>
        <w:pStyle w:val="a3"/>
        <w:numPr>
          <w:ilvl w:val="0"/>
          <w:numId w:val="24"/>
        </w:numPr>
        <w:bidi/>
        <w:spacing w:line="360" w:lineRule="auto"/>
        <w:jc w:val="both"/>
        <w:rPr>
          <w:rFonts w:ascii="David" w:hAnsi="David" w:cs="David"/>
          <w:lang w:bidi="he-IL"/>
        </w:rPr>
      </w:pPr>
      <w:r w:rsidRPr="005E764A">
        <w:rPr>
          <w:rFonts w:ascii="David" w:hAnsi="David" w:cs="David" w:hint="cs"/>
          <w:rtl/>
          <w:lang w:bidi="he-IL"/>
        </w:rPr>
        <w:t>מצטרף אני בכל הכבוד לפסק</w:t>
      </w:r>
      <w:r>
        <w:rPr>
          <w:rFonts w:ascii="David" w:hAnsi="David" w:cs="David" w:hint="cs"/>
          <w:rtl/>
          <w:lang w:bidi="he-IL"/>
        </w:rPr>
        <w:t>-</w:t>
      </w:r>
      <w:r w:rsidRPr="005E764A">
        <w:rPr>
          <w:rFonts w:ascii="David" w:hAnsi="David" w:cs="David" w:hint="cs"/>
          <w:rtl/>
          <w:lang w:bidi="he-IL"/>
        </w:rPr>
        <w:t>דינו של יו"ר ההרכב, פרופ' מוחמד ותד. הערכאה הדיונית נתפסה לכלל טעות משסברה כי מתוקף ביטולה של הוראת סעיף 25(א) לתקנון</w:t>
      </w:r>
      <w:r>
        <w:rPr>
          <w:rFonts w:ascii="David" w:hAnsi="David" w:cs="David" w:hint="cs"/>
          <w:rtl/>
          <w:lang w:bidi="he-IL"/>
        </w:rPr>
        <w:t>,</w:t>
      </w:r>
      <w:r w:rsidRPr="005E764A">
        <w:rPr>
          <w:rFonts w:ascii="David" w:hAnsi="David" w:cs="David" w:hint="cs"/>
          <w:rtl/>
          <w:lang w:bidi="he-IL"/>
        </w:rPr>
        <w:t xml:space="preserve"> במסגרת אישור התיקון לתקנון ב</w:t>
      </w:r>
      <w:r>
        <w:rPr>
          <w:rFonts w:ascii="David" w:hAnsi="David" w:cs="David" w:hint="cs"/>
          <w:rtl/>
          <w:lang w:bidi="he-IL"/>
        </w:rPr>
        <w:t xml:space="preserve">חודש </w:t>
      </w:r>
      <w:r w:rsidRPr="005E764A">
        <w:rPr>
          <w:rFonts w:ascii="David" w:hAnsi="David" w:cs="David" w:hint="cs"/>
          <w:rtl/>
          <w:lang w:bidi="he-IL"/>
        </w:rPr>
        <w:t>ספטמבר 2020</w:t>
      </w:r>
      <w:r>
        <w:rPr>
          <w:rFonts w:ascii="David" w:hAnsi="David" w:cs="David" w:hint="cs"/>
          <w:rtl/>
          <w:lang w:bidi="he-IL"/>
        </w:rPr>
        <w:t>,</w:t>
      </w:r>
      <w:r w:rsidRPr="005E764A">
        <w:rPr>
          <w:rFonts w:ascii="David" w:hAnsi="David" w:cs="David" w:hint="cs"/>
          <w:rtl/>
          <w:lang w:bidi="he-IL"/>
        </w:rPr>
        <w:t xml:space="preserve"> נשללה מבית</w:t>
      </w:r>
      <w:r>
        <w:rPr>
          <w:rFonts w:ascii="David" w:hAnsi="David" w:cs="David" w:hint="cs"/>
          <w:rtl/>
          <w:lang w:bidi="he-IL"/>
        </w:rPr>
        <w:t>-</w:t>
      </w:r>
      <w:r w:rsidRPr="005E764A">
        <w:rPr>
          <w:rFonts w:ascii="David" w:hAnsi="David" w:cs="David" w:hint="cs"/>
          <w:rtl/>
          <w:lang w:bidi="he-IL"/>
        </w:rPr>
        <w:t>הדין הסמכות שה</w:t>
      </w:r>
      <w:r>
        <w:rPr>
          <w:rFonts w:ascii="David" w:hAnsi="David" w:cs="David" w:hint="cs"/>
          <w:rtl/>
          <w:lang w:bidi="he-IL"/>
        </w:rPr>
        <w:t>י</w:t>
      </w:r>
      <w:r w:rsidRPr="005E764A">
        <w:rPr>
          <w:rFonts w:ascii="David" w:hAnsi="David" w:cs="David" w:hint="cs"/>
          <w:rtl/>
          <w:lang w:bidi="he-IL"/>
        </w:rPr>
        <w:t xml:space="preserve">יתה קבועה באותו סעיף ליתן כנגד המשיבים </w:t>
      </w:r>
      <w:r>
        <w:rPr>
          <w:rFonts w:ascii="David" w:hAnsi="David" w:cs="David" w:hint="cs"/>
          <w:rtl/>
          <w:lang w:bidi="he-IL"/>
        </w:rPr>
        <w:t xml:space="preserve">את </w:t>
      </w:r>
      <w:proofErr w:type="spellStart"/>
      <w:r w:rsidRPr="005E764A">
        <w:rPr>
          <w:rFonts w:ascii="David" w:hAnsi="David" w:cs="David" w:hint="cs"/>
          <w:rtl/>
          <w:lang w:bidi="he-IL"/>
        </w:rPr>
        <w:t>הסעדים</w:t>
      </w:r>
      <w:proofErr w:type="spellEnd"/>
      <w:r w:rsidRPr="005E764A">
        <w:rPr>
          <w:rFonts w:ascii="David" w:hAnsi="David" w:cs="David" w:hint="cs"/>
          <w:rtl/>
          <w:lang w:bidi="he-IL"/>
        </w:rPr>
        <w:t xml:space="preserve"> המבוקשים או איזה מהם</w:t>
      </w:r>
      <w:r>
        <w:rPr>
          <w:rFonts w:ascii="David" w:hAnsi="David" w:cs="David" w:hint="cs"/>
          <w:rtl/>
          <w:lang w:bidi="he-IL"/>
        </w:rPr>
        <w:t>,</w:t>
      </w:r>
      <w:r w:rsidRPr="005E764A">
        <w:rPr>
          <w:rFonts w:ascii="David" w:hAnsi="David" w:cs="David" w:hint="cs"/>
          <w:rtl/>
          <w:lang w:bidi="he-IL"/>
        </w:rPr>
        <w:t xml:space="preserve"> ובכלל זה להורות למשיבה להשעות את מוזס מתפקידו כעורך, משמצאה הערכאה הדיונית כי יש במעשים המיוחסים ל</w:t>
      </w:r>
      <w:r>
        <w:rPr>
          <w:rFonts w:ascii="David" w:hAnsi="David" w:cs="David" w:hint="cs"/>
          <w:rtl/>
          <w:lang w:bidi="he-IL"/>
        </w:rPr>
        <w:t>ו</w:t>
      </w:r>
      <w:r w:rsidRPr="005E764A">
        <w:rPr>
          <w:rFonts w:ascii="David" w:hAnsi="David" w:cs="David" w:hint="cs"/>
          <w:rtl/>
          <w:lang w:bidi="he-IL"/>
        </w:rPr>
        <w:t xml:space="preserve"> בעובדות כתב האישום בתיק 2000 משום קלון בעבודה העיתונאית.</w:t>
      </w:r>
    </w:p>
    <w:p w14:paraId="5A382D06" w14:textId="77777777" w:rsidR="005E764A" w:rsidRDefault="005E764A" w:rsidP="005E764A">
      <w:pPr>
        <w:pStyle w:val="a3"/>
        <w:numPr>
          <w:ilvl w:val="0"/>
          <w:numId w:val="24"/>
        </w:numPr>
        <w:bidi/>
        <w:spacing w:line="360" w:lineRule="auto"/>
        <w:jc w:val="both"/>
        <w:rPr>
          <w:rFonts w:ascii="David" w:hAnsi="David" w:cs="David"/>
          <w:lang w:bidi="he-IL"/>
        </w:rPr>
      </w:pPr>
      <w:r w:rsidRPr="005E764A">
        <w:rPr>
          <w:rFonts w:ascii="David" w:hAnsi="David" w:cs="David" w:hint="cs"/>
          <w:rtl/>
          <w:lang w:bidi="he-IL"/>
        </w:rPr>
        <w:t>התקלה מתמצית בכך שכבר ביום 28.11.2019 , הרבה טרם הדיון וההכרעה בערכאה הדיונית תוקן נוהל בית</w:t>
      </w:r>
      <w:r>
        <w:rPr>
          <w:rFonts w:ascii="David" w:hAnsi="David" w:cs="David" w:hint="cs"/>
          <w:rtl/>
          <w:lang w:bidi="he-IL"/>
        </w:rPr>
        <w:t>-</w:t>
      </w:r>
      <w:r w:rsidRPr="005E764A">
        <w:rPr>
          <w:rFonts w:ascii="David" w:hAnsi="David" w:cs="David" w:hint="cs"/>
          <w:rtl/>
          <w:lang w:bidi="he-IL"/>
        </w:rPr>
        <w:t xml:space="preserve">הדין לאתיקה של מועצת העיתונות והתקשורת והוראות סעיף 25(א) לתקנון נשתלו בסעיף </w:t>
      </w:r>
      <w:r>
        <w:rPr>
          <w:rFonts w:ascii="David" w:hAnsi="David" w:cs="David" w:hint="cs"/>
          <w:rtl/>
          <w:lang w:bidi="he-IL"/>
        </w:rPr>
        <w:t>12</w:t>
      </w:r>
      <w:r w:rsidRPr="005E764A">
        <w:rPr>
          <w:rFonts w:ascii="David" w:hAnsi="David" w:cs="David" w:hint="cs"/>
          <w:rtl/>
          <w:lang w:bidi="he-IL"/>
        </w:rPr>
        <w:t>(א) לנוהל.</w:t>
      </w:r>
      <w:r>
        <w:rPr>
          <w:rFonts w:ascii="David" w:hAnsi="David" w:cs="David" w:hint="cs"/>
          <w:rtl/>
          <w:lang w:bidi="he-IL"/>
        </w:rPr>
        <w:t xml:space="preserve"> </w:t>
      </w:r>
      <w:r w:rsidRPr="005E764A">
        <w:rPr>
          <w:rFonts w:ascii="David" w:hAnsi="David" w:cs="David" w:hint="cs"/>
          <w:rtl/>
          <w:lang w:bidi="he-IL"/>
        </w:rPr>
        <w:t xml:space="preserve">שני הסעיפים התקיימו במקביל זה בצד זה, עד אשר בחודש ספטמבר 2020 תוקן סופית התקנון </w:t>
      </w:r>
      <w:r w:rsidRPr="005E764A">
        <w:rPr>
          <w:rFonts w:ascii="David" w:hAnsi="David" w:cs="David" w:hint="cs"/>
          <w:rtl/>
          <w:lang w:bidi="he-IL"/>
        </w:rPr>
        <w:lastRenderedPageBreak/>
        <w:t>וההוראה נותרה על כנה רק בנוהל והוסרה מן התקנון.</w:t>
      </w:r>
      <w:r>
        <w:rPr>
          <w:rFonts w:ascii="David" w:hAnsi="David" w:cs="David" w:hint="cs"/>
          <w:rtl/>
          <w:lang w:bidi="he-IL"/>
        </w:rPr>
        <w:t xml:space="preserve"> </w:t>
      </w:r>
      <w:r w:rsidRPr="005E764A">
        <w:rPr>
          <w:rFonts w:ascii="David" w:hAnsi="David" w:cs="David" w:hint="cs"/>
          <w:rtl/>
          <w:lang w:bidi="he-IL"/>
        </w:rPr>
        <w:t>מכאן שבכל זמן מן הזמנים הרלוונטיים לתלונה,</w:t>
      </w:r>
      <w:r>
        <w:rPr>
          <w:rFonts w:ascii="David" w:hAnsi="David" w:cs="David" w:hint="cs"/>
          <w:rtl/>
          <w:lang w:bidi="he-IL"/>
        </w:rPr>
        <w:t xml:space="preserve"> הגשתה,</w:t>
      </w:r>
      <w:r w:rsidRPr="005E764A">
        <w:rPr>
          <w:rFonts w:ascii="David" w:hAnsi="David" w:cs="David" w:hint="cs"/>
          <w:rtl/>
          <w:lang w:bidi="he-IL"/>
        </w:rPr>
        <w:t xml:space="preserve"> הדיון בה וההכרעה בה הי</w:t>
      </w:r>
      <w:r>
        <w:rPr>
          <w:rFonts w:ascii="David" w:hAnsi="David" w:cs="David" w:hint="cs"/>
          <w:rtl/>
          <w:lang w:bidi="he-IL"/>
        </w:rPr>
        <w:t>י</w:t>
      </w:r>
      <w:r w:rsidRPr="005E764A">
        <w:rPr>
          <w:rFonts w:ascii="David" w:hAnsi="David" w:cs="David" w:hint="cs"/>
          <w:rtl/>
          <w:lang w:bidi="he-IL"/>
        </w:rPr>
        <w:t xml:space="preserve">תה לבית הדין סמכות ליתן </w:t>
      </w:r>
      <w:r>
        <w:rPr>
          <w:rFonts w:ascii="David" w:hAnsi="David" w:cs="David" w:hint="cs"/>
          <w:rtl/>
          <w:lang w:bidi="he-IL"/>
        </w:rPr>
        <w:t xml:space="preserve">את </w:t>
      </w:r>
      <w:proofErr w:type="spellStart"/>
      <w:r w:rsidRPr="005E764A">
        <w:rPr>
          <w:rFonts w:ascii="David" w:hAnsi="David" w:cs="David" w:hint="cs"/>
          <w:rtl/>
          <w:lang w:bidi="he-IL"/>
        </w:rPr>
        <w:t>הסעדים</w:t>
      </w:r>
      <w:proofErr w:type="spellEnd"/>
      <w:r w:rsidRPr="005E764A">
        <w:rPr>
          <w:rFonts w:ascii="David" w:hAnsi="David" w:cs="David" w:hint="cs"/>
          <w:rtl/>
          <w:lang w:bidi="he-IL"/>
        </w:rPr>
        <w:t xml:space="preserve"> המבוקשים, משמצא כי אכן יש קלון בעבודה העיתונאית, במעשים המיוחסים למוזס בכתב האישום.</w:t>
      </w:r>
    </w:p>
    <w:p w14:paraId="4F5F81DE" w14:textId="7F71820F" w:rsidR="005E764A" w:rsidRDefault="005E764A" w:rsidP="007F4925">
      <w:pPr>
        <w:pStyle w:val="a3"/>
        <w:numPr>
          <w:ilvl w:val="0"/>
          <w:numId w:val="24"/>
        </w:numPr>
        <w:bidi/>
        <w:spacing w:line="360" w:lineRule="auto"/>
        <w:jc w:val="both"/>
        <w:rPr>
          <w:rFonts w:ascii="David" w:hAnsi="David" w:cs="David"/>
          <w:lang w:bidi="he-IL"/>
        </w:rPr>
      </w:pPr>
      <w:r w:rsidRPr="005E764A">
        <w:rPr>
          <w:rFonts w:ascii="David" w:hAnsi="David" w:cs="David" w:hint="cs"/>
          <w:rtl/>
          <w:lang w:bidi="he-IL"/>
        </w:rPr>
        <w:t xml:space="preserve">באשר לעיצומים בדמות השעיה הננקטים נגד אדם שטרם הוכחה אשמתו, ולכאורה בניגוד לחזקת החפות החלה בדין הפלילי, יוער, בנוסף למה שכתב יו"ר ההרכב, כי נקיטת עיצומים נגד מי שטרם הוכחה אשמתו קיימת ומופעלת במסגרת </w:t>
      </w:r>
      <w:proofErr w:type="spellStart"/>
      <w:r w:rsidRPr="005E764A">
        <w:rPr>
          <w:rFonts w:ascii="David" w:hAnsi="David" w:cs="David" w:hint="cs"/>
          <w:rtl/>
          <w:lang w:bidi="he-IL"/>
        </w:rPr>
        <w:t>התקשי"ר</w:t>
      </w:r>
      <w:proofErr w:type="spellEnd"/>
      <w:r w:rsidRPr="005E764A">
        <w:rPr>
          <w:rFonts w:ascii="David" w:hAnsi="David" w:cs="David" w:hint="cs"/>
          <w:rtl/>
          <w:lang w:bidi="he-IL"/>
        </w:rPr>
        <w:t xml:space="preserve"> (</w:t>
      </w:r>
      <w:r w:rsidRPr="005E764A">
        <w:rPr>
          <w:rFonts w:ascii="David" w:hAnsi="David" w:cs="David" w:hint="cs"/>
          <w:b/>
          <w:bCs/>
          <w:rtl/>
          <w:lang w:bidi="he-IL"/>
        </w:rPr>
        <w:t>ראו:</w:t>
      </w:r>
      <w:r w:rsidRPr="005E764A">
        <w:rPr>
          <w:rFonts w:ascii="David" w:hAnsi="David" w:cs="David" w:hint="cs"/>
          <w:rtl/>
          <w:lang w:bidi="he-IL"/>
        </w:rPr>
        <w:t xml:space="preserve"> פרק 46 לתקנון שירות המדינה), ביחס לעובד שהוגש כנגדו כתב אישום או אפילו לעיתים כבר בשלב שנפתחת כנגד העובד חקירה גלויה, וכן במקרים אחרים.</w:t>
      </w:r>
    </w:p>
    <w:p w14:paraId="242B9E2D" w14:textId="2BFF0FE3" w:rsidR="005E764A" w:rsidRPr="005E764A" w:rsidRDefault="005E764A" w:rsidP="005E764A">
      <w:pPr>
        <w:pStyle w:val="a3"/>
        <w:numPr>
          <w:ilvl w:val="0"/>
          <w:numId w:val="24"/>
        </w:numPr>
        <w:bidi/>
        <w:spacing w:line="360" w:lineRule="auto"/>
        <w:jc w:val="both"/>
        <w:rPr>
          <w:rFonts w:ascii="David" w:hAnsi="David" w:cs="David"/>
          <w:rtl/>
          <w:lang w:bidi="he-IL"/>
        </w:rPr>
      </w:pPr>
      <w:r w:rsidRPr="005E764A">
        <w:rPr>
          <w:rFonts w:ascii="David" w:hAnsi="David" w:cs="David" w:hint="cs"/>
          <w:rtl/>
          <w:lang w:bidi="he-IL"/>
        </w:rPr>
        <w:t>לפיכך, אני מצטרף לדעת חברי</w:t>
      </w:r>
      <w:r>
        <w:rPr>
          <w:rFonts w:ascii="David" w:hAnsi="David" w:cs="David" w:hint="cs"/>
          <w:rtl/>
          <w:lang w:bidi="he-IL"/>
        </w:rPr>
        <w:t>י</w:t>
      </w:r>
      <w:r w:rsidRPr="005E764A">
        <w:rPr>
          <w:rFonts w:ascii="David" w:hAnsi="David" w:cs="David" w:hint="cs"/>
          <w:rtl/>
          <w:lang w:bidi="he-IL"/>
        </w:rPr>
        <w:t xml:space="preserve"> כולם ומציע לקבל את הערעור</w:t>
      </w:r>
      <w:r>
        <w:rPr>
          <w:rFonts w:ascii="David" w:hAnsi="David" w:cs="David" w:hint="cs"/>
          <w:rtl/>
          <w:lang w:bidi="he-IL"/>
        </w:rPr>
        <w:t xml:space="preserve">, </w:t>
      </w:r>
      <w:r w:rsidRPr="005E764A">
        <w:rPr>
          <w:rFonts w:ascii="David" w:hAnsi="David" w:cs="David" w:hint="cs"/>
          <w:rtl/>
          <w:lang w:bidi="he-IL"/>
        </w:rPr>
        <w:t>והכל כאמור בסעיף 21 לפסק</w:t>
      </w:r>
      <w:r>
        <w:rPr>
          <w:rFonts w:ascii="David" w:hAnsi="David" w:cs="David" w:hint="cs"/>
          <w:rtl/>
          <w:lang w:bidi="he-IL"/>
        </w:rPr>
        <w:t>-</w:t>
      </w:r>
      <w:r w:rsidRPr="005E764A">
        <w:rPr>
          <w:rFonts w:ascii="David" w:hAnsi="David" w:cs="David" w:hint="cs"/>
          <w:rtl/>
          <w:lang w:bidi="he-IL"/>
        </w:rPr>
        <w:t>דינו של יו"ר ההרכב פרופ' ותד.</w:t>
      </w:r>
    </w:p>
    <w:p w14:paraId="71F0B5C5" w14:textId="77777777" w:rsidR="005565B5" w:rsidRPr="00A53B8E" w:rsidRDefault="005565B5" w:rsidP="0069228B">
      <w:pPr>
        <w:bidi/>
        <w:spacing w:line="360" w:lineRule="auto"/>
        <w:jc w:val="both"/>
        <w:rPr>
          <w:rFonts w:ascii="David" w:hAnsi="David" w:cs="David"/>
          <w:lang w:bidi="he-IL"/>
        </w:rPr>
      </w:pPr>
    </w:p>
    <w:p w14:paraId="415F7DDE" w14:textId="51FBDBE0" w:rsidR="005565B5" w:rsidRPr="00A53B8E" w:rsidRDefault="005565B5" w:rsidP="005565B5">
      <w:pPr>
        <w:bidi/>
        <w:spacing w:line="360" w:lineRule="auto"/>
        <w:jc w:val="both"/>
        <w:rPr>
          <w:rFonts w:ascii="David" w:hAnsi="David" w:cs="David"/>
          <w:b/>
          <w:bCs/>
          <w:sz w:val="28"/>
          <w:szCs w:val="28"/>
          <w:u w:val="single"/>
          <w:rtl/>
          <w:lang w:bidi="he-IL"/>
        </w:rPr>
      </w:pPr>
      <w:r w:rsidRPr="00A53B8E">
        <w:rPr>
          <w:rFonts w:ascii="David" w:hAnsi="David" w:cs="David" w:hint="cs"/>
          <w:b/>
          <w:bCs/>
          <w:sz w:val="28"/>
          <w:szCs w:val="28"/>
          <w:u w:val="single"/>
          <w:rtl/>
          <w:lang w:bidi="he-IL"/>
        </w:rPr>
        <w:t>ד״ר צגה מלקו</w:t>
      </w:r>
    </w:p>
    <w:p w14:paraId="55AC169F" w14:textId="14AD070B" w:rsidR="0096735E" w:rsidRPr="002A3ACA" w:rsidRDefault="0096735E" w:rsidP="0096735E">
      <w:pPr>
        <w:bidi/>
        <w:spacing w:line="360" w:lineRule="auto"/>
        <w:jc w:val="both"/>
        <w:rPr>
          <w:rFonts w:ascii="David" w:hAnsi="David" w:cs="David"/>
          <w:rtl/>
          <w:lang w:bidi="he-IL"/>
        </w:rPr>
      </w:pPr>
      <w:r>
        <w:rPr>
          <w:rFonts w:ascii="David" w:hAnsi="David" w:cs="David" w:hint="cs"/>
          <w:rtl/>
          <w:lang w:bidi="he-IL"/>
        </w:rPr>
        <w:t>אני מצטרפת לפסק-דינו של אב בית-הדין על כל נימוקיו.</w:t>
      </w:r>
    </w:p>
    <w:p w14:paraId="689F6334" w14:textId="31CDD4D9" w:rsidR="005565B5" w:rsidRPr="00A53B8E" w:rsidRDefault="005565B5" w:rsidP="005565B5">
      <w:pPr>
        <w:bidi/>
        <w:spacing w:line="360" w:lineRule="auto"/>
        <w:jc w:val="both"/>
        <w:rPr>
          <w:rFonts w:ascii="David" w:hAnsi="David" w:cs="David"/>
          <w:rtl/>
          <w:lang w:bidi="he-IL"/>
        </w:rPr>
      </w:pPr>
    </w:p>
    <w:p w14:paraId="7106110E" w14:textId="2D32250A" w:rsidR="005565B5" w:rsidRPr="00A53B8E" w:rsidRDefault="005565B5" w:rsidP="005565B5">
      <w:pPr>
        <w:bidi/>
        <w:spacing w:line="360" w:lineRule="auto"/>
        <w:jc w:val="both"/>
        <w:rPr>
          <w:rFonts w:ascii="David" w:hAnsi="David" w:cs="David"/>
          <w:b/>
          <w:bCs/>
          <w:sz w:val="28"/>
          <w:szCs w:val="28"/>
          <w:u w:val="single"/>
          <w:rtl/>
          <w:lang w:bidi="he-IL"/>
        </w:rPr>
      </w:pPr>
      <w:r w:rsidRPr="00A53B8E">
        <w:rPr>
          <w:rFonts w:ascii="David" w:hAnsi="David" w:cs="David" w:hint="cs"/>
          <w:b/>
          <w:bCs/>
          <w:sz w:val="28"/>
          <w:szCs w:val="28"/>
          <w:u w:val="single"/>
          <w:rtl/>
          <w:lang w:bidi="he-IL"/>
        </w:rPr>
        <w:t>ד״ר ערד ניר</w:t>
      </w:r>
    </w:p>
    <w:p w14:paraId="6F9E66B9" w14:textId="059463EF" w:rsidR="00E74D07" w:rsidRPr="00E74D07" w:rsidRDefault="00E74D07" w:rsidP="00E74D07">
      <w:pPr>
        <w:bidi/>
        <w:spacing w:line="360" w:lineRule="auto"/>
        <w:jc w:val="both"/>
        <w:rPr>
          <w:rFonts w:ascii="David" w:hAnsi="David" w:cs="David"/>
          <w:rtl/>
          <w:lang w:bidi="he-IL"/>
        </w:rPr>
      </w:pPr>
      <w:r w:rsidRPr="00E74D07">
        <w:rPr>
          <w:rFonts w:ascii="David" w:hAnsi="David" w:cs="David" w:hint="cs"/>
          <w:rtl/>
          <w:lang w:bidi="he-IL"/>
        </w:rPr>
        <w:t>אני מסכים לפ</w:t>
      </w:r>
      <w:r>
        <w:rPr>
          <w:rFonts w:ascii="David" w:hAnsi="David" w:cs="David" w:hint="cs"/>
          <w:rtl/>
          <w:lang w:bidi="he-IL"/>
        </w:rPr>
        <w:t xml:space="preserve">סק-דינו של אב בית-הדין על כל נימוקיו. בנוסף, אני </w:t>
      </w:r>
      <w:r w:rsidRPr="00E74D07">
        <w:rPr>
          <w:rFonts w:ascii="David" w:hAnsi="David" w:cs="David" w:hint="cs"/>
          <w:rtl/>
          <w:lang w:bidi="he-IL"/>
        </w:rPr>
        <w:t xml:space="preserve">מבקש להדגיש </w:t>
      </w:r>
      <w:r>
        <w:rPr>
          <w:rFonts w:ascii="David" w:hAnsi="David" w:cs="David" w:hint="cs"/>
          <w:rtl/>
          <w:lang w:bidi="he-IL"/>
        </w:rPr>
        <w:t xml:space="preserve">כי </w:t>
      </w:r>
      <w:r w:rsidRPr="00E74D07">
        <w:rPr>
          <w:rFonts w:ascii="David" w:hAnsi="David" w:cs="David" w:hint="cs"/>
          <w:rtl/>
          <w:lang w:bidi="he-IL"/>
        </w:rPr>
        <w:t xml:space="preserve">ראש ממשלת ישראל מר בנימין נתניהו, </w:t>
      </w:r>
      <w:r>
        <w:rPr>
          <w:rFonts w:ascii="David" w:hAnsi="David" w:cs="David" w:hint="cs"/>
          <w:rtl/>
          <w:lang w:bidi="he-IL"/>
        </w:rPr>
        <w:t>א</w:t>
      </w:r>
      <w:r w:rsidRPr="00E74D07">
        <w:rPr>
          <w:rFonts w:ascii="David" w:hAnsi="David" w:cs="David" w:hint="cs"/>
          <w:rtl/>
          <w:lang w:bidi="he-IL"/>
        </w:rPr>
        <w:t>ש</w:t>
      </w:r>
      <w:r>
        <w:rPr>
          <w:rFonts w:ascii="David" w:hAnsi="David" w:cs="David" w:hint="cs"/>
          <w:rtl/>
          <w:lang w:bidi="he-IL"/>
        </w:rPr>
        <w:t xml:space="preserve">ר </w:t>
      </w:r>
      <w:r w:rsidRPr="00E74D07">
        <w:rPr>
          <w:rFonts w:ascii="David" w:hAnsi="David" w:cs="David" w:hint="cs"/>
          <w:rtl/>
          <w:lang w:bidi="he-IL"/>
        </w:rPr>
        <w:t>עומד גם הוא לדין בגין חלקו בפרשה זו ובפרשות נוספות באשמת שוחד, נמצא ראוי לה</w:t>
      </w:r>
      <w:r>
        <w:rPr>
          <w:rFonts w:ascii="David" w:hAnsi="David" w:cs="David" w:hint="cs"/>
          <w:rtl/>
          <w:lang w:bidi="he-IL"/>
        </w:rPr>
        <w:t>י</w:t>
      </w:r>
      <w:r w:rsidRPr="00E74D07">
        <w:rPr>
          <w:rFonts w:ascii="David" w:hAnsi="David" w:cs="David" w:hint="cs"/>
          <w:rtl/>
          <w:lang w:bidi="he-IL"/>
        </w:rPr>
        <w:t xml:space="preserve">בחר שוב ושוב לכנסת, להרכיב ממשלה ולעמוד בראשה </w:t>
      </w:r>
      <w:r>
        <w:rPr>
          <w:rFonts w:ascii="David" w:hAnsi="David" w:cs="David"/>
          <w:rtl/>
          <w:lang w:bidi="he-IL"/>
        </w:rPr>
        <w:t>–</w:t>
      </w:r>
      <w:r w:rsidRPr="00E74D07">
        <w:rPr>
          <w:rFonts w:ascii="David" w:hAnsi="David" w:cs="David" w:hint="cs"/>
          <w:rtl/>
          <w:lang w:bidi="he-IL"/>
        </w:rPr>
        <w:t xml:space="preserve"> עד שתוכח אשמתו. </w:t>
      </w:r>
    </w:p>
    <w:p w14:paraId="11A098FB" w14:textId="77777777" w:rsidR="005565B5" w:rsidRPr="00E74D07" w:rsidRDefault="005565B5" w:rsidP="005565B5">
      <w:pPr>
        <w:bidi/>
        <w:spacing w:line="360" w:lineRule="auto"/>
        <w:jc w:val="both"/>
        <w:rPr>
          <w:rFonts w:ascii="David" w:hAnsi="David" w:cs="David"/>
          <w:rtl/>
          <w:lang w:bidi="he-IL"/>
        </w:rPr>
      </w:pPr>
    </w:p>
    <w:p w14:paraId="7299B99F" w14:textId="1180A05E" w:rsidR="00F53813" w:rsidRPr="00F53813" w:rsidRDefault="005565B5" w:rsidP="00F53813">
      <w:pPr>
        <w:bidi/>
        <w:spacing w:line="360" w:lineRule="auto"/>
        <w:jc w:val="both"/>
        <w:rPr>
          <w:rFonts w:ascii="David" w:hAnsi="David" w:cs="David"/>
          <w:b/>
          <w:bCs/>
          <w:sz w:val="28"/>
          <w:szCs w:val="28"/>
          <w:u w:val="single"/>
          <w:rtl/>
          <w:lang w:bidi="he-IL"/>
        </w:rPr>
      </w:pPr>
      <w:r w:rsidRPr="00A53B8E">
        <w:rPr>
          <w:rFonts w:ascii="David" w:hAnsi="David" w:cs="David" w:hint="cs"/>
          <w:b/>
          <w:bCs/>
          <w:sz w:val="28"/>
          <w:szCs w:val="28"/>
          <w:u w:val="single"/>
          <w:rtl/>
          <w:lang w:bidi="he-IL"/>
        </w:rPr>
        <w:t xml:space="preserve">יונת </w:t>
      </w:r>
      <w:proofErr w:type="spellStart"/>
      <w:r w:rsidRPr="00A53B8E">
        <w:rPr>
          <w:rFonts w:ascii="David" w:hAnsi="David" w:cs="David" w:hint="cs"/>
          <w:b/>
          <w:bCs/>
          <w:sz w:val="28"/>
          <w:szCs w:val="28"/>
          <w:u w:val="single"/>
          <w:rtl/>
          <w:lang w:bidi="he-IL"/>
        </w:rPr>
        <w:t>פרילינג</w:t>
      </w:r>
      <w:proofErr w:type="spellEnd"/>
    </w:p>
    <w:p w14:paraId="114FC96C" w14:textId="77777777" w:rsidR="004722E8" w:rsidRDefault="00F53813" w:rsidP="004722E8">
      <w:pPr>
        <w:pStyle w:val="a3"/>
        <w:numPr>
          <w:ilvl w:val="0"/>
          <w:numId w:val="23"/>
        </w:numPr>
        <w:bidi/>
        <w:spacing w:line="360" w:lineRule="auto"/>
        <w:jc w:val="both"/>
        <w:rPr>
          <w:rFonts w:ascii="David" w:eastAsia="Times New Roman" w:hAnsi="David" w:cs="David"/>
          <w:color w:val="222222"/>
          <w:shd w:val="clear" w:color="auto" w:fill="FFFFFF"/>
          <w:lang w:bidi="he-IL"/>
        </w:rPr>
      </w:pPr>
      <w:r w:rsidRPr="004722E8">
        <w:rPr>
          <w:rFonts w:ascii="David" w:eastAsia="Times New Roman" w:hAnsi="David" w:cs="David" w:hint="cs"/>
          <w:color w:val="222222"/>
          <w:shd w:val="clear" w:color="auto" w:fill="FFFFFF"/>
          <w:rtl/>
          <w:lang w:bidi="he-IL"/>
        </w:rPr>
        <w:t xml:space="preserve">אני מסכימה עם פסק-דינו של אב בית-הדין, לרבות הנימוקים המונחים ביסודו. </w:t>
      </w:r>
    </w:p>
    <w:p w14:paraId="4896B3E2" w14:textId="0E547DB4" w:rsidR="004722E8" w:rsidRDefault="00F53813" w:rsidP="004722E8">
      <w:pPr>
        <w:pStyle w:val="a3"/>
        <w:numPr>
          <w:ilvl w:val="0"/>
          <w:numId w:val="23"/>
        </w:numPr>
        <w:bidi/>
        <w:spacing w:line="360" w:lineRule="auto"/>
        <w:jc w:val="both"/>
        <w:rPr>
          <w:rFonts w:ascii="David" w:eastAsia="Times New Roman" w:hAnsi="David" w:cs="David"/>
          <w:color w:val="222222"/>
          <w:shd w:val="clear" w:color="auto" w:fill="FFFFFF"/>
          <w:lang w:bidi="he-IL"/>
        </w:rPr>
      </w:pPr>
      <w:r w:rsidRPr="004722E8">
        <w:rPr>
          <w:rFonts w:ascii="David" w:eastAsia="Times New Roman" w:hAnsi="David" w:cs="David" w:hint="cs"/>
          <w:color w:val="222222"/>
          <w:shd w:val="clear" w:color="auto" w:fill="FFFFFF"/>
          <w:rtl/>
          <w:lang w:bidi="he-IL"/>
        </w:rPr>
        <w:t xml:space="preserve">אני מבקשת להוסיף, כי מר מוזס, בהיותו עורך ראשי, הוא בעל כוח ייחודי ומובהק </w:t>
      </w:r>
      <w:r w:rsidR="004722E8" w:rsidRPr="004722E8">
        <w:rPr>
          <w:rFonts w:ascii="David" w:eastAsia="Times New Roman" w:hAnsi="David" w:cs="David" w:hint="cs"/>
          <w:color w:val="222222"/>
          <w:shd w:val="clear" w:color="auto" w:fill="FFFFFF"/>
          <w:rtl/>
          <w:lang w:bidi="he-IL"/>
        </w:rPr>
        <w:t>ביחס להחלטה</w:t>
      </w:r>
      <w:r w:rsidRPr="004722E8">
        <w:rPr>
          <w:rFonts w:ascii="David" w:eastAsia="Times New Roman" w:hAnsi="David" w:cs="David" w:hint="cs"/>
          <w:color w:val="222222"/>
          <w:shd w:val="clear" w:color="auto" w:fill="FFFFFF"/>
          <w:rtl/>
          <w:lang w:bidi="he-IL"/>
        </w:rPr>
        <w:t xml:space="preserve"> מה יתפרסם בעיתונו. כוח</w:t>
      </w:r>
      <w:r w:rsidR="004722E8" w:rsidRPr="004722E8">
        <w:rPr>
          <w:rFonts w:ascii="David" w:eastAsia="Times New Roman" w:hAnsi="David" w:cs="David" w:hint="cs"/>
          <w:color w:val="222222"/>
          <w:shd w:val="clear" w:color="auto" w:fill="FFFFFF"/>
          <w:rtl/>
          <w:lang w:bidi="he-IL"/>
        </w:rPr>
        <w:t>ם</w:t>
      </w:r>
      <w:r w:rsidRPr="004722E8">
        <w:rPr>
          <w:rFonts w:ascii="David" w:eastAsia="Times New Roman" w:hAnsi="David" w:cs="David" w:hint="cs"/>
          <w:color w:val="222222"/>
          <w:shd w:val="clear" w:color="auto" w:fill="FFFFFF"/>
          <w:rtl/>
          <w:lang w:bidi="he-IL"/>
        </w:rPr>
        <w:t xml:space="preserve"> של המו</w:t>
      </w:r>
      <w:r w:rsidR="004722E8" w:rsidRPr="004722E8">
        <w:rPr>
          <w:rFonts w:ascii="David" w:eastAsia="Times New Roman" w:hAnsi="David" w:cs="David" w:hint="cs"/>
          <w:color w:val="222222"/>
          <w:shd w:val="clear" w:color="auto" w:fill="FFFFFF"/>
          <w:rtl/>
          <w:lang w:bidi="he-IL"/>
        </w:rPr>
        <w:t>ציא לאור</w:t>
      </w:r>
      <w:r w:rsidRPr="004722E8">
        <w:rPr>
          <w:rFonts w:ascii="David" w:eastAsia="Times New Roman" w:hAnsi="David" w:cs="David" w:hint="cs"/>
          <w:color w:val="222222"/>
          <w:shd w:val="clear" w:color="auto" w:fill="FFFFFF"/>
          <w:rtl/>
          <w:lang w:bidi="he-IL"/>
        </w:rPr>
        <w:t xml:space="preserve"> ו</w:t>
      </w:r>
      <w:r w:rsidR="004722E8" w:rsidRPr="004722E8">
        <w:rPr>
          <w:rFonts w:ascii="David" w:eastAsia="Times New Roman" w:hAnsi="David" w:cs="David" w:hint="cs"/>
          <w:color w:val="222222"/>
          <w:shd w:val="clear" w:color="auto" w:fill="FFFFFF"/>
          <w:rtl/>
          <w:lang w:bidi="he-IL"/>
        </w:rPr>
        <w:t xml:space="preserve">של </w:t>
      </w:r>
      <w:r w:rsidRPr="004722E8">
        <w:rPr>
          <w:rFonts w:ascii="David" w:eastAsia="Times New Roman" w:hAnsi="David" w:cs="David" w:hint="cs"/>
          <w:color w:val="222222"/>
          <w:shd w:val="clear" w:color="auto" w:fill="FFFFFF"/>
          <w:rtl/>
          <w:lang w:bidi="he-IL"/>
        </w:rPr>
        <w:t>העורך הראשי רב יותר מזה של העיתונאי הממוצע</w:t>
      </w:r>
      <w:r w:rsidR="004722E8" w:rsidRPr="004722E8">
        <w:rPr>
          <w:rFonts w:ascii="David" w:eastAsia="Times New Roman" w:hAnsi="David" w:cs="David" w:hint="cs"/>
          <w:color w:val="222222"/>
          <w:shd w:val="clear" w:color="auto" w:fill="FFFFFF"/>
          <w:rtl/>
          <w:lang w:bidi="he-IL"/>
        </w:rPr>
        <w:t>;</w:t>
      </w:r>
      <w:r w:rsidRPr="004722E8">
        <w:rPr>
          <w:rFonts w:ascii="David" w:eastAsia="Times New Roman" w:hAnsi="David" w:cs="David" w:hint="cs"/>
          <w:color w:val="222222"/>
          <w:shd w:val="clear" w:color="auto" w:fill="FFFFFF"/>
          <w:rtl/>
          <w:lang w:bidi="he-IL"/>
        </w:rPr>
        <w:t xml:space="preserve"> משום כך, ניתן לקוות שגדולה גם אחריותו וחובתו למלא אחר כללי האתיקה. בספרו "חופש העיתונאי וחופש העיתונות בישראל"</w:t>
      </w:r>
      <w:r w:rsidR="004722E8" w:rsidRPr="004722E8">
        <w:rPr>
          <w:rFonts w:ascii="David" w:eastAsia="Times New Roman" w:hAnsi="David" w:cs="David" w:hint="cs"/>
          <w:color w:val="222222"/>
          <w:shd w:val="clear" w:color="auto" w:fill="FFFFFF"/>
          <w:rtl/>
          <w:lang w:bidi="he-IL"/>
        </w:rPr>
        <w:t>, פרופ׳ משה נגבי ז״ל כתב,</w:t>
      </w:r>
      <w:r w:rsidRPr="004722E8">
        <w:rPr>
          <w:rFonts w:ascii="David" w:eastAsia="Times New Roman" w:hAnsi="David" w:cs="David" w:hint="cs"/>
          <w:color w:val="222222"/>
          <w:shd w:val="clear" w:color="auto" w:fill="FFFFFF"/>
          <w:rtl/>
          <w:lang w:bidi="he-IL"/>
        </w:rPr>
        <w:t xml:space="preserve"> כי לעבריין יש לא אחת אינטרס טבעי, לעיתים קיומי ממש, להחליש </w:t>
      </w:r>
      <w:r w:rsidR="00CB1EE3">
        <w:rPr>
          <w:rFonts w:ascii="David" w:eastAsia="Times New Roman" w:hAnsi="David" w:cs="David" w:hint="cs"/>
          <w:color w:val="222222"/>
          <w:shd w:val="clear" w:color="auto" w:fill="FFFFFF"/>
          <w:rtl/>
          <w:lang w:bidi="he-IL"/>
        </w:rPr>
        <w:t>את</w:t>
      </w:r>
      <w:r w:rsidRPr="004722E8">
        <w:rPr>
          <w:rFonts w:ascii="David" w:eastAsia="Times New Roman" w:hAnsi="David" w:cs="David" w:hint="cs"/>
          <w:color w:val="222222"/>
          <w:shd w:val="clear" w:color="auto" w:fill="FFFFFF"/>
          <w:rtl/>
          <w:lang w:bidi="he-IL"/>
        </w:rPr>
        <w:t xml:space="preserve"> אוכפי החוק במדינה, אם לסכל את מיצוי הדין עימו או כדי להיפרע ממי שהביא להרשעתו (</w:t>
      </w:r>
      <w:r w:rsidR="004722E8" w:rsidRPr="004722E8">
        <w:rPr>
          <w:rFonts w:ascii="David" w:eastAsia="Times New Roman" w:hAnsi="David" w:cs="David" w:hint="cs"/>
          <w:b/>
          <w:bCs/>
          <w:color w:val="222222"/>
          <w:shd w:val="clear" w:color="auto" w:fill="FFFFFF"/>
          <w:rtl/>
          <w:lang w:bidi="he-IL"/>
        </w:rPr>
        <w:t>ראו:</w:t>
      </w:r>
      <w:r w:rsidR="004722E8" w:rsidRPr="004722E8">
        <w:rPr>
          <w:rFonts w:ascii="David" w:eastAsia="Times New Roman" w:hAnsi="David" w:cs="David" w:hint="cs"/>
          <w:color w:val="222222"/>
          <w:shd w:val="clear" w:color="auto" w:fill="FFFFFF"/>
          <w:rtl/>
          <w:lang w:bidi="he-IL"/>
        </w:rPr>
        <w:t xml:space="preserve"> שם, בעמוד</w:t>
      </w:r>
      <w:r w:rsidRPr="004722E8">
        <w:rPr>
          <w:rFonts w:ascii="David" w:eastAsia="Times New Roman" w:hAnsi="David" w:cs="David" w:hint="cs"/>
          <w:color w:val="222222"/>
          <w:shd w:val="clear" w:color="auto" w:fill="FFFFFF"/>
          <w:rtl/>
          <w:lang w:bidi="he-IL"/>
        </w:rPr>
        <w:t xml:space="preserve"> 79)</w:t>
      </w:r>
      <w:r w:rsidR="004722E8" w:rsidRPr="004722E8">
        <w:rPr>
          <w:rFonts w:ascii="David" w:eastAsia="Times New Roman" w:hAnsi="David" w:cs="David" w:hint="cs"/>
          <w:color w:val="222222"/>
          <w:shd w:val="clear" w:color="auto" w:fill="FFFFFF"/>
          <w:rtl/>
          <w:lang w:bidi="he-IL"/>
        </w:rPr>
        <w:t xml:space="preserve">. </w:t>
      </w:r>
      <w:r w:rsidRPr="004722E8">
        <w:rPr>
          <w:rFonts w:ascii="David" w:eastAsia="Times New Roman" w:hAnsi="David" w:cs="David" w:hint="cs"/>
          <w:color w:val="222222"/>
          <w:shd w:val="clear" w:color="auto" w:fill="FFFFFF"/>
          <w:rtl/>
          <w:lang w:bidi="he-IL"/>
        </w:rPr>
        <w:t xml:space="preserve">כך, המשיך </w:t>
      </w:r>
      <w:r w:rsidR="004722E8" w:rsidRPr="004722E8">
        <w:rPr>
          <w:rFonts w:ascii="David" w:eastAsia="Times New Roman" w:hAnsi="David" w:cs="David" w:hint="cs"/>
          <w:color w:val="222222"/>
          <w:shd w:val="clear" w:color="auto" w:fill="FFFFFF"/>
          <w:rtl/>
          <w:lang w:bidi="he-IL"/>
        </w:rPr>
        <w:t xml:space="preserve">פרופ׳ </w:t>
      </w:r>
      <w:r w:rsidRPr="004722E8">
        <w:rPr>
          <w:rFonts w:ascii="David" w:eastAsia="Times New Roman" w:hAnsi="David" w:cs="David" w:hint="cs"/>
          <w:color w:val="222222"/>
          <w:shd w:val="clear" w:color="auto" w:fill="FFFFFF"/>
          <w:rtl/>
          <w:lang w:bidi="he-IL"/>
        </w:rPr>
        <w:t xml:space="preserve">נגבי, עלול כלי תקשורת ועלולים </w:t>
      </w:r>
      <w:proofErr w:type="spellStart"/>
      <w:r w:rsidRPr="004722E8">
        <w:rPr>
          <w:rFonts w:ascii="David" w:eastAsia="Times New Roman" w:hAnsi="David" w:cs="David" w:hint="cs"/>
          <w:color w:val="222222"/>
          <w:shd w:val="clear" w:color="auto" w:fill="FFFFFF"/>
          <w:rtl/>
          <w:lang w:bidi="he-IL"/>
        </w:rPr>
        <w:t>עיתונאיו</w:t>
      </w:r>
      <w:proofErr w:type="spellEnd"/>
      <w:r w:rsidRPr="004722E8">
        <w:rPr>
          <w:rFonts w:ascii="David" w:eastAsia="Times New Roman" w:hAnsi="David" w:cs="David" w:hint="cs"/>
          <w:color w:val="222222"/>
          <w:shd w:val="clear" w:color="auto" w:fill="FFFFFF"/>
          <w:rtl/>
          <w:lang w:bidi="he-IL"/>
        </w:rPr>
        <w:t xml:space="preserve"> להפוך למכשיר פלילי (אפילו בעל כורחם), תוך ניצול בוטה של תמימותו של הציבור לשירות האינטרסים של בעלי כלי התקשורת או העומדים בראשיו</w:t>
      </w:r>
      <w:r w:rsidR="004722E8" w:rsidRPr="004722E8">
        <w:rPr>
          <w:rFonts w:ascii="David" w:eastAsia="Times New Roman" w:hAnsi="David" w:cs="David" w:hint="cs"/>
          <w:color w:val="222222"/>
          <w:shd w:val="clear" w:color="auto" w:fill="FFFFFF"/>
          <w:rtl/>
          <w:lang w:bidi="he-IL"/>
        </w:rPr>
        <w:t>.</w:t>
      </w:r>
    </w:p>
    <w:p w14:paraId="25A4BCD7" w14:textId="38C5DE0F" w:rsidR="00F53813" w:rsidRPr="004722E8" w:rsidRDefault="00F53813" w:rsidP="004722E8">
      <w:pPr>
        <w:pStyle w:val="a3"/>
        <w:numPr>
          <w:ilvl w:val="0"/>
          <w:numId w:val="23"/>
        </w:numPr>
        <w:bidi/>
        <w:spacing w:line="360" w:lineRule="auto"/>
        <w:jc w:val="both"/>
        <w:rPr>
          <w:rFonts w:ascii="David" w:eastAsia="Times New Roman" w:hAnsi="David" w:cs="David"/>
          <w:color w:val="222222"/>
          <w:shd w:val="clear" w:color="auto" w:fill="FFFFFF"/>
          <w:lang w:bidi="he-IL"/>
        </w:rPr>
      </w:pPr>
      <w:r w:rsidRPr="004722E8">
        <w:rPr>
          <w:rFonts w:ascii="David" w:eastAsia="Times New Roman" w:hAnsi="David" w:cs="David" w:hint="cs"/>
          <w:color w:val="222222"/>
          <w:shd w:val="clear" w:color="auto" w:fill="FFFFFF"/>
          <w:rtl/>
          <w:lang w:bidi="he-IL"/>
        </w:rPr>
        <w:t>על פניו</w:t>
      </w:r>
      <w:r w:rsidR="004722E8">
        <w:rPr>
          <w:rFonts w:ascii="David" w:eastAsia="Times New Roman" w:hAnsi="David" w:cs="David" w:hint="cs"/>
          <w:color w:val="222222"/>
          <w:shd w:val="clear" w:color="auto" w:fill="FFFFFF"/>
          <w:rtl/>
          <w:lang w:bidi="he-IL"/>
        </w:rPr>
        <w:t>,</w:t>
      </w:r>
      <w:r w:rsidRPr="004722E8">
        <w:rPr>
          <w:rFonts w:ascii="David" w:eastAsia="Times New Roman" w:hAnsi="David" w:cs="David" w:hint="cs"/>
          <w:color w:val="222222"/>
          <w:shd w:val="clear" w:color="auto" w:fill="FFFFFF"/>
          <w:rtl/>
          <w:lang w:bidi="he-IL"/>
        </w:rPr>
        <w:t xml:space="preserve"> ולפי כתב האישום </w:t>
      </w:r>
      <w:r w:rsidR="004722E8">
        <w:rPr>
          <w:rFonts w:ascii="David" w:eastAsia="Times New Roman" w:hAnsi="David" w:cs="David" w:hint="cs"/>
          <w:color w:val="222222"/>
          <w:shd w:val="clear" w:color="auto" w:fill="FFFFFF"/>
          <w:rtl/>
          <w:lang w:bidi="he-IL"/>
        </w:rPr>
        <w:t>א</w:t>
      </w:r>
      <w:r w:rsidRPr="004722E8">
        <w:rPr>
          <w:rFonts w:ascii="David" w:eastAsia="Times New Roman" w:hAnsi="David" w:cs="David" w:hint="cs"/>
          <w:color w:val="222222"/>
          <w:shd w:val="clear" w:color="auto" w:fill="FFFFFF"/>
          <w:rtl/>
          <w:lang w:bidi="he-IL"/>
        </w:rPr>
        <w:t>ש</w:t>
      </w:r>
      <w:r w:rsidR="004722E8">
        <w:rPr>
          <w:rFonts w:ascii="David" w:eastAsia="Times New Roman" w:hAnsi="David" w:cs="David" w:hint="cs"/>
          <w:color w:val="222222"/>
          <w:shd w:val="clear" w:color="auto" w:fill="FFFFFF"/>
          <w:rtl/>
          <w:lang w:bidi="he-IL"/>
        </w:rPr>
        <w:t xml:space="preserve">ר </w:t>
      </w:r>
      <w:r w:rsidRPr="004722E8">
        <w:rPr>
          <w:rFonts w:ascii="David" w:eastAsia="Times New Roman" w:hAnsi="David" w:cs="David" w:hint="cs"/>
          <w:color w:val="222222"/>
          <w:shd w:val="clear" w:color="auto" w:fill="FFFFFF"/>
          <w:rtl/>
          <w:lang w:bidi="he-IL"/>
        </w:rPr>
        <w:t>הוגש לא מכבר נגד</w:t>
      </w:r>
      <w:r w:rsidR="004722E8">
        <w:rPr>
          <w:rFonts w:ascii="David" w:eastAsia="Times New Roman" w:hAnsi="David" w:cs="David" w:hint="cs"/>
          <w:color w:val="222222"/>
          <w:shd w:val="clear" w:color="auto" w:fill="FFFFFF"/>
          <w:rtl/>
          <w:lang w:bidi="he-IL"/>
        </w:rPr>
        <w:t xml:space="preserve"> מר מוזס</w:t>
      </w:r>
      <w:r w:rsidRPr="004722E8">
        <w:rPr>
          <w:rFonts w:ascii="David" w:eastAsia="Times New Roman" w:hAnsi="David" w:cs="David" w:hint="cs"/>
          <w:color w:val="222222"/>
          <w:shd w:val="clear" w:color="auto" w:fill="FFFFFF"/>
          <w:rtl/>
          <w:lang w:bidi="he-IL"/>
        </w:rPr>
        <w:t xml:space="preserve">, </w:t>
      </w:r>
      <w:r w:rsidR="004722E8">
        <w:rPr>
          <w:rFonts w:ascii="David" w:eastAsia="Times New Roman" w:hAnsi="David" w:cs="David" w:hint="cs"/>
          <w:color w:val="222222"/>
          <w:shd w:val="clear" w:color="auto" w:fill="FFFFFF"/>
          <w:rtl/>
          <w:lang w:bidi="he-IL"/>
        </w:rPr>
        <w:t xml:space="preserve">הלה </w:t>
      </w:r>
      <w:r w:rsidRPr="004722E8">
        <w:rPr>
          <w:rFonts w:ascii="David" w:eastAsia="Times New Roman" w:hAnsi="David" w:cs="David" w:hint="cs"/>
          <w:color w:val="222222"/>
          <w:shd w:val="clear" w:color="auto" w:fill="FFFFFF"/>
          <w:rtl/>
          <w:lang w:bidi="he-IL"/>
        </w:rPr>
        <w:t>הפר אקסיומ</w:t>
      </w:r>
      <w:r w:rsidR="004722E8">
        <w:rPr>
          <w:rFonts w:ascii="David" w:eastAsia="Times New Roman" w:hAnsi="David" w:cs="David" w:hint="cs"/>
          <w:color w:val="222222"/>
          <w:shd w:val="clear" w:color="auto" w:fill="FFFFFF"/>
          <w:rtl/>
          <w:lang w:bidi="he-IL"/>
        </w:rPr>
        <w:t>ות בדיני האתיקה.</w:t>
      </w:r>
      <w:r w:rsidRPr="004722E8">
        <w:rPr>
          <w:rFonts w:ascii="David" w:eastAsia="Times New Roman" w:hAnsi="David" w:cs="David" w:hint="cs"/>
          <w:color w:val="222222"/>
          <w:shd w:val="clear" w:color="auto" w:fill="FFFFFF"/>
          <w:rtl/>
          <w:lang w:bidi="he-IL"/>
        </w:rPr>
        <w:t xml:space="preserve"> זאת, ביודעין ותוך ניצול כוחו ועוצמתו </w:t>
      </w:r>
      <w:r w:rsidR="004722E8">
        <w:rPr>
          <w:rFonts w:ascii="David" w:eastAsia="Times New Roman" w:hAnsi="David" w:cs="David" w:hint="cs"/>
          <w:color w:val="222222"/>
          <w:shd w:val="clear" w:color="auto" w:fill="FFFFFF"/>
          <w:rtl/>
          <w:lang w:bidi="he-IL"/>
        </w:rPr>
        <w:t>ביחס ל</w:t>
      </w:r>
      <w:r w:rsidRPr="004722E8">
        <w:rPr>
          <w:rFonts w:ascii="David" w:eastAsia="Times New Roman" w:hAnsi="David" w:cs="David" w:hint="cs"/>
          <w:color w:val="222222"/>
          <w:shd w:val="clear" w:color="auto" w:fill="FFFFFF"/>
          <w:rtl/>
          <w:lang w:bidi="he-IL"/>
        </w:rPr>
        <w:t xml:space="preserve">דעת הקהל. משכך, בגד </w:t>
      </w:r>
      <w:r w:rsidR="004722E8">
        <w:rPr>
          <w:rFonts w:ascii="David" w:eastAsia="Times New Roman" w:hAnsi="David" w:cs="David" w:hint="cs"/>
          <w:color w:val="222222"/>
          <w:shd w:val="clear" w:color="auto" w:fill="FFFFFF"/>
          <w:rtl/>
          <w:lang w:bidi="he-IL"/>
        </w:rPr>
        <w:t xml:space="preserve">הוא </w:t>
      </w:r>
      <w:r w:rsidRPr="004722E8">
        <w:rPr>
          <w:rFonts w:ascii="David" w:eastAsia="Times New Roman" w:hAnsi="David" w:cs="David" w:hint="cs"/>
          <w:color w:val="222222"/>
          <w:shd w:val="clear" w:color="auto" w:fill="FFFFFF"/>
          <w:rtl/>
          <w:lang w:bidi="he-IL"/>
        </w:rPr>
        <w:t>באמון הבסיסי שמעניק לו הציבור, כמי שמבקש להיות הזרוע הרביעית של הממשל. מטרתו של הסעיף הנדון ב</w:t>
      </w:r>
      <w:r w:rsidR="004722E8">
        <w:rPr>
          <w:rFonts w:ascii="David" w:eastAsia="Times New Roman" w:hAnsi="David" w:cs="David" w:hint="cs"/>
          <w:color w:val="222222"/>
          <w:shd w:val="clear" w:color="auto" w:fill="FFFFFF"/>
          <w:rtl/>
          <w:lang w:bidi="he-IL"/>
        </w:rPr>
        <w:t>תיק שבפנינו</w:t>
      </w:r>
      <w:r w:rsidRPr="004722E8">
        <w:rPr>
          <w:rFonts w:ascii="David" w:eastAsia="Times New Roman" w:hAnsi="David" w:cs="David" w:hint="cs"/>
          <w:color w:val="222222"/>
          <w:shd w:val="clear" w:color="auto" w:fill="FFFFFF"/>
          <w:rtl/>
          <w:lang w:bidi="he-IL"/>
        </w:rPr>
        <w:t>, הינה לשמור על מעמדו, כבודו, רמתו ואמינותו של מקצוע העיתונ</w:t>
      </w:r>
      <w:r w:rsidR="00931E87">
        <w:rPr>
          <w:rFonts w:ascii="David" w:eastAsia="Times New Roman" w:hAnsi="David" w:cs="David" w:hint="cs"/>
          <w:color w:val="222222"/>
          <w:shd w:val="clear" w:color="auto" w:fill="FFFFFF"/>
          <w:rtl/>
          <w:lang w:bidi="he-IL"/>
        </w:rPr>
        <w:t>א</w:t>
      </w:r>
      <w:r w:rsidRPr="004722E8">
        <w:rPr>
          <w:rFonts w:ascii="David" w:eastAsia="Times New Roman" w:hAnsi="David" w:cs="David" w:hint="cs"/>
          <w:color w:val="222222"/>
          <w:shd w:val="clear" w:color="auto" w:fill="FFFFFF"/>
          <w:rtl/>
          <w:lang w:bidi="he-IL"/>
        </w:rPr>
        <w:t>ות בישראל, ואין גוף מתאים ומכובד יותר מ</w:t>
      </w:r>
      <w:r w:rsidR="004722E8">
        <w:rPr>
          <w:rFonts w:ascii="David" w:eastAsia="Times New Roman" w:hAnsi="David" w:cs="David" w:hint="cs"/>
          <w:color w:val="222222"/>
          <w:shd w:val="clear" w:color="auto" w:fill="FFFFFF"/>
          <w:rtl/>
          <w:lang w:bidi="he-IL"/>
        </w:rPr>
        <w:t>מועצת העיתונות והתקשורת בישראל ומבית הדין לאתיקה שלצידה כדי ל</w:t>
      </w:r>
      <w:r w:rsidRPr="004722E8">
        <w:rPr>
          <w:rFonts w:ascii="David" w:eastAsia="Times New Roman" w:hAnsi="David" w:cs="David" w:hint="cs"/>
          <w:color w:val="222222"/>
          <w:shd w:val="clear" w:color="auto" w:fill="FFFFFF"/>
          <w:rtl/>
          <w:lang w:bidi="he-IL"/>
        </w:rPr>
        <w:t xml:space="preserve">וודא שכך </w:t>
      </w:r>
      <w:r w:rsidR="004722E8">
        <w:rPr>
          <w:rFonts w:ascii="David" w:eastAsia="Times New Roman" w:hAnsi="David" w:cs="David" w:hint="cs"/>
          <w:color w:val="222222"/>
          <w:shd w:val="clear" w:color="auto" w:fill="FFFFFF"/>
          <w:rtl/>
          <w:lang w:bidi="he-IL"/>
        </w:rPr>
        <w:t xml:space="preserve">הוא </w:t>
      </w:r>
      <w:r w:rsidRPr="004722E8">
        <w:rPr>
          <w:rFonts w:ascii="David" w:eastAsia="Times New Roman" w:hAnsi="David" w:cs="David" w:hint="cs"/>
          <w:color w:val="222222"/>
          <w:shd w:val="clear" w:color="auto" w:fill="FFFFFF"/>
          <w:rtl/>
          <w:lang w:bidi="he-IL"/>
        </w:rPr>
        <w:t>הדבר</w:t>
      </w:r>
      <w:r w:rsidR="004722E8">
        <w:rPr>
          <w:rFonts w:ascii="David" w:eastAsia="Times New Roman" w:hAnsi="David" w:cs="David" w:hint="cs"/>
          <w:color w:val="222222"/>
          <w:shd w:val="clear" w:color="auto" w:fill="FFFFFF"/>
          <w:rtl/>
          <w:lang w:bidi="he-IL"/>
        </w:rPr>
        <w:t>.</w:t>
      </w:r>
    </w:p>
    <w:p w14:paraId="6D23495F" w14:textId="368D58CE" w:rsidR="00F53813" w:rsidRDefault="00F53813" w:rsidP="00F53813">
      <w:pPr>
        <w:bidi/>
        <w:spacing w:line="360" w:lineRule="auto"/>
        <w:jc w:val="both"/>
        <w:rPr>
          <w:rFonts w:ascii="David" w:hAnsi="David" w:cs="David"/>
          <w:b/>
          <w:bCs/>
          <w:u w:val="single"/>
          <w:rtl/>
          <w:lang w:bidi="he-IL"/>
        </w:rPr>
      </w:pPr>
    </w:p>
    <w:p w14:paraId="67949A7E" w14:textId="77777777" w:rsidR="006825D3" w:rsidRPr="00F53813" w:rsidRDefault="006825D3" w:rsidP="006825D3">
      <w:pPr>
        <w:bidi/>
        <w:spacing w:line="360" w:lineRule="auto"/>
        <w:jc w:val="both"/>
        <w:rPr>
          <w:rFonts w:ascii="David" w:hAnsi="David" w:cs="David"/>
          <w:b/>
          <w:bCs/>
          <w:u w:val="single"/>
          <w:rtl/>
          <w:lang w:bidi="he-IL"/>
        </w:rPr>
      </w:pPr>
    </w:p>
    <w:p w14:paraId="2B05984B" w14:textId="0056FCA4" w:rsidR="005565B5" w:rsidRDefault="005565B5" w:rsidP="005565B5">
      <w:pPr>
        <w:bidi/>
        <w:spacing w:line="360" w:lineRule="auto"/>
        <w:jc w:val="both"/>
        <w:rPr>
          <w:rFonts w:ascii="David" w:hAnsi="David" w:cs="David"/>
          <w:b/>
          <w:bCs/>
          <w:sz w:val="28"/>
          <w:szCs w:val="28"/>
          <w:u w:val="single"/>
          <w:rtl/>
          <w:lang w:bidi="he-IL"/>
        </w:rPr>
      </w:pPr>
      <w:r w:rsidRPr="00A53B8E">
        <w:rPr>
          <w:rFonts w:ascii="David" w:hAnsi="David" w:cs="David" w:hint="cs"/>
          <w:b/>
          <w:bCs/>
          <w:sz w:val="28"/>
          <w:szCs w:val="28"/>
          <w:u w:val="single"/>
          <w:rtl/>
          <w:lang w:bidi="he-IL"/>
        </w:rPr>
        <w:lastRenderedPageBreak/>
        <w:t>שרי רוט</w:t>
      </w:r>
    </w:p>
    <w:p w14:paraId="522B2D92" w14:textId="147AA324" w:rsidR="000C6E72" w:rsidRPr="000C6E72" w:rsidRDefault="00594EB7" w:rsidP="000C6E72">
      <w:pPr>
        <w:pStyle w:val="a3"/>
        <w:numPr>
          <w:ilvl w:val="0"/>
          <w:numId w:val="21"/>
        </w:numPr>
        <w:bidi/>
        <w:spacing w:line="360" w:lineRule="auto"/>
        <w:ind w:left="713"/>
        <w:jc w:val="both"/>
        <w:rPr>
          <w:rFonts w:ascii="David" w:hAnsi="David" w:cs="David"/>
          <w:rtl/>
          <w:lang w:bidi="he-IL"/>
        </w:rPr>
      </w:pPr>
      <w:r w:rsidRPr="000C6E72">
        <w:rPr>
          <w:rFonts w:ascii="David" w:hAnsi="David" w:cs="David" w:hint="cs"/>
          <w:rtl/>
          <w:lang w:bidi="he-IL"/>
        </w:rPr>
        <w:t>אני מצטר</w:t>
      </w:r>
      <w:r w:rsidR="000C6E72">
        <w:rPr>
          <w:rFonts w:ascii="David" w:hAnsi="David" w:cs="David" w:hint="cs"/>
          <w:rtl/>
          <w:lang w:bidi="he-IL"/>
        </w:rPr>
        <w:t>פת</w:t>
      </w:r>
      <w:r w:rsidRPr="000C6E72">
        <w:rPr>
          <w:rFonts w:ascii="David" w:hAnsi="David" w:cs="David" w:hint="cs"/>
          <w:rtl/>
          <w:lang w:bidi="he-IL"/>
        </w:rPr>
        <w:t xml:space="preserve"> לתוצאה אליה הגיע אב בית-הדין. </w:t>
      </w:r>
    </w:p>
    <w:p w14:paraId="312B5F73" w14:textId="42450D70" w:rsidR="000C6E72" w:rsidRDefault="00594EB7" w:rsidP="000C6E72">
      <w:pPr>
        <w:pStyle w:val="a3"/>
        <w:numPr>
          <w:ilvl w:val="0"/>
          <w:numId w:val="21"/>
        </w:numPr>
        <w:bidi/>
        <w:spacing w:line="360" w:lineRule="auto"/>
        <w:jc w:val="both"/>
        <w:rPr>
          <w:rFonts w:ascii="David" w:eastAsia="Times New Roman" w:hAnsi="David" w:cs="David"/>
          <w:color w:val="000000"/>
          <w:lang w:bidi="he-IL"/>
        </w:rPr>
      </w:pPr>
      <w:r w:rsidRPr="000C6E72">
        <w:rPr>
          <w:rFonts w:ascii="David" w:hAnsi="David" w:cs="David" w:hint="cs"/>
          <w:rtl/>
          <w:lang w:bidi="he-IL"/>
        </w:rPr>
        <w:t xml:space="preserve">עם זאת, אני מבקשת להוסיף זאת, כי </w:t>
      </w:r>
      <w:r w:rsidRPr="000C6E72">
        <w:rPr>
          <w:rFonts w:ascii="David" w:eastAsia="Times New Roman" w:hAnsi="David" w:cs="David"/>
          <w:color w:val="000000"/>
          <w:rtl/>
          <w:lang w:bidi="he-IL"/>
        </w:rPr>
        <w:t xml:space="preserve">הקשר של מוזס עם 'ידיעות אחרונות' </w:t>
      </w:r>
      <w:r w:rsidRPr="000C6E72">
        <w:rPr>
          <w:rFonts w:ascii="David" w:eastAsia="Times New Roman" w:hAnsi="David" w:cs="David" w:hint="cs"/>
          <w:color w:val="000000"/>
          <w:rtl/>
          <w:lang w:bidi="he-IL"/>
        </w:rPr>
        <w:t>נוגע</w:t>
      </w:r>
      <w:r w:rsidRPr="000C6E72">
        <w:rPr>
          <w:rFonts w:ascii="David" w:eastAsia="Times New Roman" w:hAnsi="David" w:cs="David"/>
          <w:color w:val="000000"/>
          <w:rtl/>
          <w:lang w:bidi="he-IL"/>
        </w:rPr>
        <w:t xml:space="preserve"> </w:t>
      </w:r>
      <w:r w:rsidR="007F4925">
        <w:rPr>
          <w:rFonts w:ascii="David" w:eastAsia="Times New Roman" w:hAnsi="David" w:cs="David" w:hint="cs"/>
          <w:color w:val="000000"/>
          <w:rtl/>
          <w:lang w:bidi="he-IL"/>
        </w:rPr>
        <w:t>ל</w:t>
      </w:r>
      <w:r w:rsidRPr="000C6E72">
        <w:rPr>
          <w:rFonts w:ascii="David" w:eastAsia="Times New Roman" w:hAnsi="David" w:cs="David"/>
          <w:color w:val="000000"/>
          <w:rtl/>
          <w:lang w:bidi="he-IL"/>
        </w:rPr>
        <w:t xml:space="preserve">זכות יסוד, </w:t>
      </w:r>
      <w:r w:rsidRPr="000C6E72">
        <w:rPr>
          <w:rFonts w:ascii="David" w:eastAsia="Times New Roman" w:hAnsi="David" w:cs="David" w:hint="cs"/>
          <w:color w:val="000000"/>
          <w:rtl/>
          <w:lang w:bidi="he-IL"/>
        </w:rPr>
        <w:t xml:space="preserve">כלומר </w:t>
      </w:r>
      <w:r w:rsidRPr="000C6E72">
        <w:rPr>
          <w:rFonts w:ascii="David" w:eastAsia="Times New Roman" w:hAnsi="David" w:cs="David"/>
          <w:color w:val="000000"/>
          <w:rtl/>
          <w:lang w:bidi="he-IL"/>
        </w:rPr>
        <w:t>זכות הקניין שיש לו ב'ידיעות אחרונות</w:t>
      </w:r>
      <w:r w:rsidRPr="000C6E72">
        <w:rPr>
          <w:rFonts w:ascii="David" w:eastAsia="Times New Roman" w:hAnsi="David" w:cs="David" w:hint="cs"/>
          <w:color w:val="000000"/>
          <w:rtl/>
          <w:lang w:bidi="he-IL"/>
        </w:rPr>
        <w:t>׳.</w:t>
      </w:r>
      <w:r w:rsidRPr="000C6E72">
        <w:rPr>
          <w:rFonts w:ascii="David" w:hAnsi="David" w:cs="David" w:hint="cs"/>
          <w:rtl/>
          <w:lang w:bidi="he-IL"/>
        </w:rPr>
        <w:t xml:space="preserve"> </w:t>
      </w:r>
      <w:r w:rsidRPr="000C6E72">
        <w:rPr>
          <w:rFonts w:ascii="David" w:eastAsia="Times New Roman" w:hAnsi="David" w:cs="David"/>
          <w:color w:val="000000"/>
          <w:rtl/>
          <w:lang w:bidi="he-IL"/>
        </w:rPr>
        <w:t>כדי לפגוע ב</w:t>
      </w:r>
      <w:r w:rsidRPr="000C6E72">
        <w:rPr>
          <w:rFonts w:ascii="David" w:eastAsia="Times New Roman" w:hAnsi="David" w:cs="David" w:hint="cs"/>
          <w:color w:val="000000"/>
          <w:rtl/>
          <w:lang w:bidi="he-IL"/>
        </w:rPr>
        <w:t>זכות זו, לדעתי</w:t>
      </w:r>
      <w:r w:rsidRPr="000C6E72">
        <w:rPr>
          <w:rFonts w:ascii="David" w:eastAsia="Times New Roman" w:hAnsi="David" w:cs="David"/>
          <w:color w:val="000000"/>
          <w:rtl/>
          <w:lang w:bidi="he-IL"/>
        </w:rPr>
        <w:t xml:space="preserve"> צריך יותר מיסוד סביר </w:t>
      </w:r>
      <w:r w:rsidR="000C6E72" w:rsidRPr="000C6E72">
        <w:rPr>
          <w:rFonts w:ascii="David" w:eastAsia="Times New Roman" w:hAnsi="David" w:cs="David" w:hint="cs"/>
          <w:color w:val="000000"/>
          <w:rtl/>
          <w:lang w:bidi="he-IL"/>
        </w:rPr>
        <w:t>להרשעה</w:t>
      </w:r>
      <w:r w:rsidRPr="000C6E72">
        <w:rPr>
          <w:rFonts w:ascii="David" w:eastAsia="Times New Roman" w:hAnsi="David" w:cs="David" w:hint="cs"/>
          <w:color w:val="000000"/>
          <w:rtl/>
          <w:lang w:bidi="he-IL"/>
        </w:rPr>
        <w:t>.</w:t>
      </w:r>
      <w:r w:rsidR="000C6E72" w:rsidRPr="000C6E72">
        <w:rPr>
          <w:rFonts w:ascii="David" w:eastAsia="Times New Roman" w:hAnsi="David" w:cs="David" w:hint="cs"/>
          <w:color w:val="000000"/>
          <w:rtl/>
          <w:lang w:bidi="he-IL"/>
        </w:rPr>
        <w:t xml:space="preserve"> </w:t>
      </w:r>
      <w:r w:rsidRPr="000C6E72">
        <w:rPr>
          <w:rFonts w:ascii="David" w:eastAsia="Times New Roman" w:hAnsi="David" w:cs="David"/>
          <w:color w:val="000000"/>
          <w:rtl/>
          <w:lang w:bidi="he-IL"/>
        </w:rPr>
        <w:t>מאחר ואין שום דרך לדעת זאת 'מראש', שלילת זכויותיו (הנובעות בעצם מזכות הקניין) בעיתון היא מעשה לא מידתי, ובפרט שיש ספק גדול האם סיקור חיובי עומד בהגדרת השוחד, דבר שבית המשפט יצטרך להכריע בו</w:t>
      </w:r>
      <w:r w:rsidRPr="000C6E72">
        <w:rPr>
          <w:rFonts w:ascii="David" w:eastAsia="Times New Roman" w:hAnsi="David" w:cs="David"/>
          <w:color w:val="000000"/>
        </w:rPr>
        <w:t>.</w:t>
      </w:r>
      <w:r w:rsidR="000C6E72" w:rsidRPr="000C6E72">
        <w:rPr>
          <w:rFonts w:ascii="David" w:eastAsia="Times New Roman" w:hAnsi="David" w:cs="David" w:hint="cs"/>
          <w:color w:val="000000"/>
          <w:rtl/>
          <w:lang w:bidi="he-IL"/>
        </w:rPr>
        <w:t xml:space="preserve"> </w:t>
      </w:r>
      <w:r w:rsidRPr="000C6E72">
        <w:rPr>
          <w:rFonts w:ascii="David" w:eastAsia="Times New Roman" w:hAnsi="David" w:cs="David"/>
          <w:color w:val="000000"/>
          <w:rtl/>
          <w:lang w:bidi="he-IL"/>
        </w:rPr>
        <w:t>אין הדבר דומה לשר בממשלה, שאין לו קשר קנייני לתפקיד</w:t>
      </w:r>
      <w:r w:rsidRPr="000C6E72">
        <w:rPr>
          <w:rFonts w:ascii="David" w:eastAsia="Times New Roman" w:hAnsi="David" w:cs="David"/>
          <w:color w:val="000000"/>
        </w:rPr>
        <w:t>.</w:t>
      </w:r>
      <w:r w:rsidR="000C6E72" w:rsidRPr="000C6E72">
        <w:rPr>
          <w:rFonts w:ascii="David" w:eastAsia="Times New Roman" w:hAnsi="David" w:cs="David" w:hint="cs"/>
          <w:color w:val="000000"/>
          <w:rtl/>
          <w:lang w:bidi="he-IL"/>
        </w:rPr>
        <w:t xml:space="preserve"> </w:t>
      </w:r>
      <w:r w:rsidRPr="000C6E72">
        <w:rPr>
          <w:rFonts w:ascii="David" w:eastAsia="Times New Roman" w:hAnsi="David" w:cs="David"/>
          <w:color w:val="000000"/>
          <w:rtl/>
          <w:lang w:bidi="he-IL"/>
        </w:rPr>
        <w:t>הקביעה לפיה "המעשים הפליליים המיוחסים למוזס מבססים קלון על מקצוע העיתונ</w:t>
      </w:r>
      <w:r w:rsidR="00931E87">
        <w:rPr>
          <w:rFonts w:ascii="David" w:eastAsia="Times New Roman" w:hAnsi="David" w:cs="David" w:hint="cs"/>
          <w:color w:val="000000"/>
          <w:rtl/>
          <w:lang w:bidi="he-IL"/>
        </w:rPr>
        <w:t>א</w:t>
      </w:r>
      <w:r w:rsidRPr="000C6E72">
        <w:rPr>
          <w:rFonts w:ascii="David" w:eastAsia="Times New Roman" w:hAnsi="David" w:cs="David"/>
          <w:color w:val="000000"/>
          <w:rtl/>
          <w:lang w:bidi="he-IL"/>
        </w:rPr>
        <w:t>ות" תהיה נכונה אך ורק אם תוכח אשמתו בבית</w:t>
      </w:r>
      <w:r w:rsidR="000C6E72" w:rsidRPr="000C6E72">
        <w:rPr>
          <w:rFonts w:ascii="David" w:eastAsia="Times New Roman" w:hAnsi="David" w:cs="David" w:hint="cs"/>
          <w:color w:val="000000"/>
          <w:rtl/>
          <w:lang w:bidi="he-IL"/>
        </w:rPr>
        <w:t>-</w:t>
      </w:r>
      <w:r w:rsidRPr="000C6E72">
        <w:rPr>
          <w:rFonts w:ascii="David" w:eastAsia="Times New Roman" w:hAnsi="David" w:cs="David"/>
          <w:color w:val="000000"/>
          <w:rtl/>
          <w:lang w:bidi="he-IL"/>
        </w:rPr>
        <w:t>משפט</w:t>
      </w:r>
      <w:r w:rsidR="000C6E72" w:rsidRPr="000C6E72">
        <w:rPr>
          <w:rFonts w:ascii="David" w:eastAsia="Times New Roman" w:hAnsi="David" w:cs="David" w:hint="cs"/>
          <w:color w:val="000000"/>
          <w:rtl/>
          <w:lang w:bidi="he-IL"/>
        </w:rPr>
        <w:t>,</w:t>
      </w:r>
      <w:r w:rsidRPr="000C6E72">
        <w:rPr>
          <w:rFonts w:ascii="David" w:eastAsia="Times New Roman" w:hAnsi="David" w:cs="David"/>
          <w:color w:val="000000"/>
          <w:rtl/>
          <w:lang w:bidi="he-IL"/>
        </w:rPr>
        <w:t xml:space="preserve"> וכן ייקבע בבית</w:t>
      </w:r>
      <w:r w:rsidR="000C6E72" w:rsidRPr="000C6E72">
        <w:rPr>
          <w:rFonts w:ascii="David" w:eastAsia="Times New Roman" w:hAnsi="David" w:cs="David" w:hint="cs"/>
          <w:color w:val="000000"/>
          <w:rtl/>
          <w:lang w:bidi="he-IL"/>
        </w:rPr>
        <w:t>-</w:t>
      </w:r>
      <w:r w:rsidRPr="000C6E72">
        <w:rPr>
          <w:rFonts w:ascii="David" w:eastAsia="Times New Roman" w:hAnsi="David" w:cs="David"/>
          <w:color w:val="000000"/>
          <w:rtl/>
          <w:lang w:bidi="he-IL"/>
        </w:rPr>
        <w:t>משפט כי סיקור חיובי נכלל בהגדרת השוחד או שהוא חלק מהקשר השוטף שיש לעיתונאי/מנהל כלי תקשורת עם מקורות מידע</w:t>
      </w:r>
      <w:r w:rsidRPr="000C6E72">
        <w:rPr>
          <w:rFonts w:ascii="David" w:eastAsia="Times New Roman" w:hAnsi="David" w:cs="David"/>
          <w:color w:val="000000"/>
        </w:rPr>
        <w:t>.</w:t>
      </w:r>
    </w:p>
    <w:p w14:paraId="69B839A2" w14:textId="7B50E1D3" w:rsidR="00594EB7" w:rsidRPr="000C6E72" w:rsidRDefault="000C6E72" w:rsidP="000C6E72">
      <w:pPr>
        <w:pStyle w:val="a3"/>
        <w:numPr>
          <w:ilvl w:val="0"/>
          <w:numId w:val="21"/>
        </w:numPr>
        <w:bidi/>
        <w:spacing w:line="360" w:lineRule="auto"/>
        <w:jc w:val="both"/>
        <w:rPr>
          <w:rFonts w:ascii="David" w:eastAsia="Times New Roman" w:hAnsi="David" w:cs="David"/>
          <w:color w:val="000000"/>
          <w:lang w:bidi="he-IL"/>
        </w:rPr>
      </w:pPr>
      <w:r>
        <w:rPr>
          <w:rFonts w:ascii="David" w:hAnsi="David" w:cs="David" w:hint="cs"/>
          <w:rtl/>
          <w:lang w:bidi="he-IL"/>
        </w:rPr>
        <w:t xml:space="preserve">בכל מקרה, </w:t>
      </w:r>
      <w:r w:rsidR="00594EB7" w:rsidRPr="000C6E72">
        <w:rPr>
          <w:rFonts w:ascii="David" w:eastAsia="Times New Roman" w:hAnsi="David" w:cs="David"/>
          <w:color w:val="000000"/>
          <w:rtl/>
          <w:lang w:bidi="he-IL"/>
        </w:rPr>
        <w:t xml:space="preserve">מאחר והדיון </w:t>
      </w:r>
      <w:r>
        <w:rPr>
          <w:rFonts w:ascii="David" w:eastAsia="Times New Roman" w:hAnsi="David" w:cs="David" w:hint="cs"/>
          <w:color w:val="000000"/>
          <w:rtl/>
          <w:lang w:bidi="he-IL"/>
        </w:rPr>
        <w:t xml:space="preserve">בפנינו </w:t>
      </w:r>
      <w:r w:rsidR="00594EB7" w:rsidRPr="000C6E72">
        <w:rPr>
          <w:rFonts w:ascii="David" w:eastAsia="Times New Roman" w:hAnsi="David" w:cs="David"/>
          <w:color w:val="000000"/>
          <w:rtl/>
          <w:lang w:bidi="he-IL"/>
        </w:rPr>
        <w:t>עסק בשאלת כשירותו של בית</w:t>
      </w:r>
      <w:r>
        <w:rPr>
          <w:rFonts w:ascii="David" w:eastAsia="Times New Roman" w:hAnsi="David" w:cs="David" w:hint="cs"/>
          <w:color w:val="000000"/>
          <w:rtl/>
          <w:lang w:bidi="he-IL"/>
        </w:rPr>
        <w:t>-</w:t>
      </w:r>
      <w:r w:rsidR="00594EB7" w:rsidRPr="000C6E72">
        <w:rPr>
          <w:rFonts w:ascii="David" w:eastAsia="Times New Roman" w:hAnsi="David" w:cs="David"/>
          <w:color w:val="000000"/>
          <w:rtl/>
          <w:lang w:bidi="he-IL"/>
        </w:rPr>
        <w:t xml:space="preserve">הדין לאתיקה של מועצת העיתונות </w:t>
      </w:r>
      <w:r>
        <w:rPr>
          <w:rFonts w:ascii="David" w:eastAsia="Times New Roman" w:hAnsi="David" w:cs="David" w:hint="cs"/>
          <w:color w:val="000000"/>
          <w:rtl/>
          <w:lang w:bidi="he-IL"/>
        </w:rPr>
        <w:t xml:space="preserve">והתקשורת בישראל להפעיל את סמכותו שלפי סעיף 25(א) לתקנון האתיקה, שכאמור נמחק מתקנון האתיקה, </w:t>
      </w:r>
      <w:r w:rsidR="00594EB7" w:rsidRPr="000C6E72">
        <w:rPr>
          <w:rFonts w:ascii="David" w:eastAsia="Times New Roman" w:hAnsi="David" w:cs="David"/>
          <w:color w:val="000000"/>
          <w:rtl/>
          <w:lang w:bidi="he-IL"/>
        </w:rPr>
        <w:t>אני מסכימה</w:t>
      </w:r>
      <w:r>
        <w:rPr>
          <w:rFonts w:ascii="David" w:eastAsia="Times New Roman" w:hAnsi="David" w:cs="David" w:hint="cs"/>
          <w:color w:val="000000"/>
          <w:rtl/>
          <w:lang w:bidi="he-IL"/>
        </w:rPr>
        <w:t xml:space="preserve"> בהחלט עם אב בית-הדין</w:t>
      </w:r>
      <w:r w:rsidR="00594EB7" w:rsidRPr="000C6E72">
        <w:rPr>
          <w:rFonts w:ascii="David" w:eastAsia="Times New Roman" w:hAnsi="David" w:cs="David"/>
          <w:color w:val="000000"/>
          <w:rtl/>
          <w:lang w:bidi="he-IL"/>
        </w:rPr>
        <w:t xml:space="preserve"> כי על</w:t>
      </w:r>
      <w:r>
        <w:rPr>
          <w:rFonts w:ascii="David" w:eastAsia="Times New Roman" w:hAnsi="David" w:cs="David" w:hint="cs"/>
          <w:color w:val="000000"/>
          <w:rtl/>
          <w:lang w:bidi="he-IL"/>
        </w:rPr>
        <w:t>-</w:t>
      </w:r>
      <w:r w:rsidR="00594EB7" w:rsidRPr="000C6E72">
        <w:rPr>
          <w:rFonts w:ascii="David" w:eastAsia="Times New Roman" w:hAnsi="David" w:cs="David"/>
          <w:color w:val="000000"/>
          <w:rtl/>
          <w:lang w:bidi="he-IL"/>
        </w:rPr>
        <w:t xml:space="preserve">פי </w:t>
      </w:r>
      <w:r>
        <w:rPr>
          <w:rFonts w:ascii="David" w:eastAsia="Times New Roman" w:hAnsi="David" w:cs="David" w:hint="cs"/>
          <w:color w:val="000000"/>
          <w:rtl/>
          <w:lang w:bidi="he-IL"/>
        </w:rPr>
        <w:t>סעיף 12(א)</w:t>
      </w:r>
      <w:r>
        <w:rPr>
          <w:rFonts w:ascii="David" w:eastAsia="Times New Roman" w:hAnsi="David" w:cs="David" w:hint="cs"/>
          <w:color w:val="000000"/>
          <w:lang w:bidi="he-IL"/>
        </w:rPr>
        <w:t xml:space="preserve"> </w:t>
      </w:r>
      <w:r>
        <w:rPr>
          <w:rFonts w:ascii="David" w:eastAsia="Times New Roman" w:hAnsi="David" w:cs="David" w:hint="cs"/>
          <w:color w:val="000000"/>
          <w:rtl/>
          <w:lang w:bidi="he-IL"/>
        </w:rPr>
        <w:t xml:space="preserve">לנוהל בית-הדין סמכות זו אכן נותרה בידי בית-הדין.  </w:t>
      </w:r>
    </w:p>
    <w:p w14:paraId="21AB001A" w14:textId="7503CED0" w:rsidR="00FB376E" w:rsidRDefault="00FB376E" w:rsidP="00FB376E">
      <w:pPr>
        <w:shd w:val="clear" w:color="auto" w:fill="FFFFFF"/>
        <w:bidi/>
        <w:spacing w:line="360" w:lineRule="auto"/>
        <w:jc w:val="both"/>
        <w:rPr>
          <w:rFonts w:ascii="David" w:eastAsia="Times New Roman" w:hAnsi="David" w:cs="David"/>
          <w:color w:val="000000"/>
          <w:rtl/>
        </w:rPr>
      </w:pPr>
    </w:p>
    <w:p w14:paraId="2E21F999" w14:textId="68713C1F" w:rsidR="006825D3" w:rsidRDefault="006825D3" w:rsidP="006825D3">
      <w:pPr>
        <w:shd w:val="clear" w:color="auto" w:fill="FFFFFF"/>
        <w:bidi/>
        <w:spacing w:line="360" w:lineRule="auto"/>
        <w:jc w:val="both"/>
        <w:rPr>
          <w:rFonts w:ascii="David" w:eastAsia="Times New Roman" w:hAnsi="David" w:cs="David"/>
          <w:color w:val="000000"/>
          <w:rtl/>
        </w:rPr>
      </w:pPr>
    </w:p>
    <w:p w14:paraId="5B1C4D6C" w14:textId="67D3121B" w:rsidR="006825D3" w:rsidRDefault="006825D3" w:rsidP="006825D3">
      <w:pPr>
        <w:shd w:val="clear" w:color="auto" w:fill="FFFFFF"/>
        <w:bidi/>
        <w:spacing w:line="360" w:lineRule="auto"/>
        <w:jc w:val="both"/>
        <w:rPr>
          <w:rFonts w:ascii="David" w:eastAsia="Times New Roman" w:hAnsi="David" w:cs="David"/>
          <w:color w:val="000000"/>
          <w:rtl/>
        </w:rPr>
      </w:pPr>
    </w:p>
    <w:p w14:paraId="276A88E6" w14:textId="3D12B965" w:rsidR="006825D3" w:rsidRDefault="006825D3" w:rsidP="006825D3">
      <w:pPr>
        <w:shd w:val="clear" w:color="auto" w:fill="FFFFFF"/>
        <w:bidi/>
        <w:spacing w:line="360" w:lineRule="auto"/>
        <w:jc w:val="both"/>
        <w:rPr>
          <w:rFonts w:ascii="David" w:eastAsia="Times New Roman" w:hAnsi="David" w:cs="David"/>
          <w:color w:val="000000"/>
          <w:rtl/>
        </w:rPr>
      </w:pPr>
    </w:p>
    <w:p w14:paraId="125F295E" w14:textId="67C2AE2C" w:rsidR="006825D3" w:rsidRDefault="006825D3" w:rsidP="006825D3">
      <w:pPr>
        <w:shd w:val="clear" w:color="auto" w:fill="FFFFFF"/>
        <w:bidi/>
        <w:spacing w:line="360" w:lineRule="auto"/>
        <w:jc w:val="both"/>
        <w:rPr>
          <w:rFonts w:ascii="David" w:eastAsia="Times New Roman" w:hAnsi="David" w:cs="David"/>
          <w:color w:val="000000"/>
          <w:rtl/>
        </w:rPr>
      </w:pPr>
    </w:p>
    <w:p w14:paraId="32A0C293" w14:textId="5C554D27" w:rsidR="006825D3" w:rsidRDefault="006825D3" w:rsidP="006825D3">
      <w:pPr>
        <w:shd w:val="clear" w:color="auto" w:fill="FFFFFF"/>
        <w:bidi/>
        <w:spacing w:line="360" w:lineRule="auto"/>
        <w:jc w:val="both"/>
        <w:rPr>
          <w:rFonts w:ascii="David" w:eastAsia="Times New Roman" w:hAnsi="David" w:cs="David"/>
          <w:color w:val="000000"/>
          <w:rtl/>
        </w:rPr>
      </w:pPr>
    </w:p>
    <w:p w14:paraId="4F7DC382" w14:textId="26C2331C" w:rsidR="006825D3" w:rsidRDefault="006825D3" w:rsidP="006825D3">
      <w:pPr>
        <w:shd w:val="clear" w:color="auto" w:fill="FFFFFF"/>
        <w:bidi/>
        <w:spacing w:line="360" w:lineRule="auto"/>
        <w:jc w:val="both"/>
        <w:rPr>
          <w:rFonts w:ascii="David" w:eastAsia="Times New Roman" w:hAnsi="David" w:cs="David"/>
          <w:color w:val="000000"/>
          <w:rtl/>
        </w:rPr>
      </w:pPr>
    </w:p>
    <w:p w14:paraId="032F8DB2" w14:textId="525B94F1" w:rsidR="006825D3" w:rsidRDefault="006825D3" w:rsidP="006825D3">
      <w:pPr>
        <w:shd w:val="clear" w:color="auto" w:fill="FFFFFF"/>
        <w:bidi/>
        <w:spacing w:line="360" w:lineRule="auto"/>
        <w:jc w:val="both"/>
        <w:rPr>
          <w:rFonts w:ascii="David" w:eastAsia="Times New Roman" w:hAnsi="David" w:cs="David"/>
          <w:color w:val="000000"/>
          <w:rtl/>
        </w:rPr>
      </w:pPr>
    </w:p>
    <w:p w14:paraId="1E6DD2FF" w14:textId="76444B43" w:rsidR="006825D3" w:rsidRDefault="006825D3" w:rsidP="006825D3">
      <w:pPr>
        <w:shd w:val="clear" w:color="auto" w:fill="FFFFFF"/>
        <w:bidi/>
        <w:spacing w:line="360" w:lineRule="auto"/>
        <w:jc w:val="both"/>
        <w:rPr>
          <w:rFonts w:ascii="David" w:eastAsia="Times New Roman" w:hAnsi="David" w:cs="David"/>
          <w:color w:val="000000"/>
          <w:rtl/>
        </w:rPr>
      </w:pPr>
    </w:p>
    <w:p w14:paraId="3508463F" w14:textId="197BB0F0" w:rsidR="006825D3" w:rsidRDefault="006825D3" w:rsidP="006825D3">
      <w:pPr>
        <w:shd w:val="clear" w:color="auto" w:fill="FFFFFF"/>
        <w:bidi/>
        <w:spacing w:line="360" w:lineRule="auto"/>
        <w:jc w:val="both"/>
        <w:rPr>
          <w:rFonts w:ascii="David" w:eastAsia="Times New Roman" w:hAnsi="David" w:cs="David"/>
          <w:color w:val="000000"/>
          <w:rtl/>
        </w:rPr>
      </w:pPr>
    </w:p>
    <w:p w14:paraId="393F96B1" w14:textId="5784E448" w:rsidR="006825D3" w:rsidRDefault="006825D3" w:rsidP="006825D3">
      <w:pPr>
        <w:shd w:val="clear" w:color="auto" w:fill="FFFFFF"/>
        <w:bidi/>
        <w:spacing w:line="360" w:lineRule="auto"/>
        <w:jc w:val="both"/>
        <w:rPr>
          <w:rFonts w:ascii="David" w:eastAsia="Times New Roman" w:hAnsi="David" w:cs="David"/>
          <w:color w:val="000000"/>
          <w:rtl/>
        </w:rPr>
      </w:pPr>
    </w:p>
    <w:p w14:paraId="20369226" w14:textId="6891762C" w:rsidR="006825D3" w:rsidRDefault="006825D3" w:rsidP="006825D3">
      <w:pPr>
        <w:shd w:val="clear" w:color="auto" w:fill="FFFFFF"/>
        <w:bidi/>
        <w:spacing w:line="360" w:lineRule="auto"/>
        <w:jc w:val="both"/>
        <w:rPr>
          <w:rFonts w:ascii="David" w:eastAsia="Times New Roman" w:hAnsi="David" w:cs="David"/>
          <w:color w:val="000000"/>
          <w:rtl/>
        </w:rPr>
      </w:pPr>
    </w:p>
    <w:p w14:paraId="2F6F62EE" w14:textId="5F332258" w:rsidR="006825D3" w:rsidRDefault="006825D3" w:rsidP="006825D3">
      <w:pPr>
        <w:shd w:val="clear" w:color="auto" w:fill="FFFFFF"/>
        <w:bidi/>
        <w:spacing w:line="360" w:lineRule="auto"/>
        <w:jc w:val="both"/>
        <w:rPr>
          <w:rFonts w:ascii="David" w:eastAsia="Times New Roman" w:hAnsi="David" w:cs="David"/>
          <w:color w:val="000000"/>
          <w:rtl/>
        </w:rPr>
      </w:pPr>
    </w:p>
    <w:p w14:paraId="47B97AA9" w14:textId="31A3866E" w:rsidR="006825D3" w:rsidRDefault="006825D3" w:rsidP="006825D3">
      <w:pPr>
        <w:shd w:val="clear" w:color="auto" w:fill="FFFFFF"/>
        <w:bidi/>
        <w:spacing w:line="360" w:lineRule="auto"/>
        <w:jc w:val="both"/>
        <w:rPr>
          <w:rFonts w:ascii="David" w:eastAsia="Times New Roman" w:hAnsi="David" w:cs="David"/>
          <w:color w:val="000000"/>
          <w:rtl/>
        </w:rPr>
      </w:pPr>
    </w:p>
    <w:p w14:paraId="6968E60D" w14:textId="784E747C" w:rsidR="006825D3" w:rsidRDefault="006825D3" w:rsidP="006825D3">
      <w:pPr>
        <w:shd w:val="clear" w:color="auto" w:fill="FFFFFF"/>
        <w:bidi/>
        <w:spacing w:line="360" w:lineRule="auto"/>
        <w:jc w:val="both"/>
        <w:rPr>
          <w:rFonts w:ascii="David" w:eastAsia="Times New Roman" w:hAnsi="David" w:cs="David"/>
          <w:color w:val="000000"/>
          <w:rtl/>
        </w:rPr>
      </w:pPr>
    </w:p>
    <w:p w14:paraId="74D7AB3C" w14:textId="10D1161C" w:rsidR="006825D3" w:rsidRDefault="006825D3" w:rsidP="006825D3">
      <w:pPr>
        <w:shd w:val="clear" w:color="auto" w:fill="FFFFFF"/>
        <w:bidi/>
        <w:spacing w:line="360" w:lineRule="auto"/>
        <w:jc w:val="both"/>
        <w:rPr>
          <w:rFonts w:ascii="David" w:eastAsia="Times New Roman" w:hAnsi="David" w:cs="David"/>
          <w:color w:val="000000"/>
          <w:rtl/>
        </w:rPr>
      </w:pPr>
    </w:p>
    <w:p w14:paraId="4049E6A5" w14:textId="6E2223CD" w:rsidR="006825D3" w:rsidRDefault="006825D3" w:rsidP="006825D3">
      <w:pPr>
        <w:shd w:val="clear" w:color="auto" w:fill="FFFFFF"/>
        <w:bidi/>
        <w:spacing w:line="360" w:lineRule="auto"/>
        <w:jc w:val="both"/>
        <w:rPr>
          <w:rFonts w:ascii="David" w:eastAsia="Times New Roman" w:hAnsi="David" w:cs="David"/>
          <w:color w:val="000000"/>
          <w:rtl/>
        </w:rPr>
      </w:pPr>
    </w:p>
    <w:p w14:paraId="2EC463D6" w14:textId="3F36E607" w:rsidR="006825D3" w:rsidRDefault="006825D3" w:rsidP="006825D3">
      <w:pPr>
        <w:shd w:val="clear" w:color="auto" w:fill="FFFFFF"/>
        <w:bidi/>
        <w:spacing w:line="360" w:lineRule="auto"/>
        <w:jc w:val="both"/>
        <w:rPr>
          <w:rFonts w:ascii="David" w:eastAsia="Times New Roman" w:hAnsi="David" w:cs="David"/>
          <w:color w:val="000000"/>
          <w:rtl/>
        </w:rPr>
      </w:pPr>
    </w:p>
    <w:p w14:paraId="382379DA" w14:textId="44067BD5" w:rsidR="006825D3" w:rsidRDefault="006825D3" w:rsidP="006825D3">
      <w:pPr>
        <w:shd w:val="clear" w:color="auto" w:fill="FFFFFF"/>
        <w:bidi/>
        <w:spacing w:line="360" w:lineRule="auto"/>
        <w:jc w:val="both"/>
        <w:rPr>
          <w:rFonts w:ascii="David" w:eastAsia="Times New Roman" w:hAnsi="David" w:cs="David"/>
          <w:color w:val="000000"/>
          <w:rtl/>
        </w:rPr>
      </w:pPr>
    </w:p>
    <w:p w14:paraId="47C979D6" w14:textId="1753F052" w:rsidR="006825D3" w:rsidRDefault="006825D3" w:rsidP="006825D3">
      <w:pPr>
        <w:shd w:val="clear" w:color="auto" w:fill="FFFFFF"/>
        <w:bidi/>
        <w:spacing w:line="360" w:lineRule="auto"/>
        <w:jc w:val="both"/>
        <w:rPr>
          <w:rFonts w:ascii="David" w:eastAsia="Times New Roman" w:hAnsi="David" w:cs="David"/>
          <w:color w:val="000000"/>
          <w:rtl/>
        </w:rPr>
      </w:pPr>
    </w:p>
    <w:p w14:paraId="0A372AA5" w14:textId="016BBFE8" w:rsidR="006825D3" w:rsidRDefault="006825D3" w:rsidP="006825D3">
      <w:pPr>
        <w:shd w:val="clear" w:color="auto" w:fill="FFFFFF"/>
        <w:bidi/>
        <w:spacing w:line="360" w:lineRule="auto"/>
        <w:jc w:val="both"/>
        <w:rPr>
          <w:rFonts w:ascii="David" w:eastAsia="Times New Roman" w:hAnsi="David" w:cs="David"/>
          <w:color w:val="000000"/>
          <w:rtl/>
        </w:rPr>
      </w:pPr>
    </w:p>
    <w:p w14:paraId="1DADD118" w14:textId="77777777" w:rsidR="006825D3" w:rsidRDefault="006825D3" w:rsidP="006825D3">
      <w:pPr>
        <w:shd w:val="clear" w:color="auto" w:fill="FFFFFF"/>
        <w:bidi/>
        <w:spacing w:line="360" w:lineRule="auto"/>
        <w:jc w:val="both"/>
        <w:rPr>
          <w:rFonts w:ascii="David" w:eastAsia="Times New Roman" w:hAnsi="David" w:cs="David"/>
          <w:color w:val="000000"/>
          <w:rtl/>
        </w:rPr>
      </w:pPr>
    </w:p>
    <w:p w14:paraId="73D93E27" w14:textId="77777777" w:rsidR="00FB376E" w:rsidRPr="00A53B8E" w:rsidRDefault="00FB376E" w:rsidP="00FB376E">
      <w:pPr>
        <w:bidi/>
        <w:spacing w:line="360" w:lineRule="auto"/>
        <w:jc w:val="center"/>
        <w:rPr>
          <w:rFonts w:ascii="David" w:hAnsi="David" w:cs="David"/>
          <w:b/>
          <w:bCs/>
          <w:sz w:val="32"/>
          <w:szCs w:val="32"/>
          <w:u w:val="single"/>
          <w:rtl/>
          <w:lang w:bidi="he-IL"/>
        </w:rPr>
      </w:pPr>
      <w:r w:rsidRPr="00A53B8E">
        <w:rPr>
          <w:rFonts w:ascii="David" w:hAnsi="David" w:cs="David" w:hint="cs"/>
          <w:b/>
          <w:bCs/>
          <w:sz w:val="32"/>
          <w:szCs w:val="32"/>
          <w:u w:val="single"/>
          <w:rtl/>
          <w:lang w:bidi="he-IL"/>
        </w:rPr>
        <w:lastRenderedPageBreak/>
        <w:t>פסק-דין</w:t>
      </w:r>
    </w:p>
    <w:p w14:paraId="19267813" w14:textId="77777777" w:rsidR="00FB376E" w:rsidRPr="00594EB7" w:rsidRDefault="00FB376E" w:rsidP="00FB376E">
      <w:pPr>
        <w:shd w:val="clear" w:color="auto" w:fill="FFFFFF"/>
        <w:bidi/>
        <w:spacing w:line="360" w:lineRule="auto"/>
        <w:jc w:val="both"/>
        <w:rPr>
          <w:rFonts w:ascii="David" w:eastAsia="Times New Roman" w:hAnsi="David" w:cs="David"/>
          <w:color w:val="000000"/>
          <w:lang w:bidi="he-IL"/>
        </w:rPr>
      </w:pPr>
    </w:p>
    <w:p w14:paraId="2B8F237A" w14:textId="6B16F2A4" w:rsidR="00FB376E" w:rsidRPr="00FB376E" w:rsidRDefault="00FB376E" w:rsidP="00931E87">
      <w:pPr>
        <w:bidi/>
        <w:spacing w:line="360" w:lineRule="auto"/>
        <w:ind w:left="720"/>
        <w:jc w:val="both"/>
        <w:rPr>
          <w:rFonts w:ascii="David" w:hAnsi="David" w:cs="David"/>
          <w:b/>
          <w:bCs/>
          <w:color w:val="000000" w:themeColor="text1"/>
          <w:lang w:bidi="he-IL"/>
        </w:rPr>
      </w:pPr>
      <w:r>
        <w:rPr>
          <w:rFonts w:ascii="David" w:hAnsi="David" w:cs="David" w:hint="cs"/>
          <w:b/>
          <w:bCs/>
          <w:color w:val="000000" w:themeColor="text1"/>
          <w:rtl/>
          <w:lang w:bidi="he-IL"/>
        </w:rPr>
        <w:t>הוחלט, פה אחד, כקבוע בפסק-דינו של אב בית-הדין, פרופ׳ מוחמד ותד, ל</w:t>
      </w:r>
      <w:r w:rsidRPr="00FB376E">
        <w:rPr>
          <w:rFonts w:ascii="David" w:hAnsi="David" w:cs="David" w:hint="cs"/>
          <w:b/>
          <w:bCs/>
          <w:color w:val="000000" w:themeColor="text1"/>
          <w:rtl/>
          <w:lang w:bidi="he-IL"/>
        </w:rPr>
        <w:t xml:space="preserve">קבל את הערעור במובן זה </w:t>
      </w:r>
      <w:r>
        <w:rPr>
          <w:rFonts w:ascii="David" w:hAnsi="David" w:cs="David" w:hint="cs"/>
          <w:b/>
          <w:bCs/>
          <w:color w:val="000000" w:themeColor="text1"/>
          <w:rtl/>
          <w:lang w:bidi="he-IL"/>
        </w:rPr>
        <w:t xml:space="preserve">שבית-הדין </w:t>
      </w:r>
      <w:r w:rsidRPr="00FB376E">
        <w:rPr>
          <w:rFonts w:ascii="David" w:hAnsi="David" w:cs="David" w:hint="cs"/>
          <w:b/>
          <w:bCs/>
          <w:color w:val="000000" w:themeColor="text1"/>
          <w:rtl/>
          <w:lang w:bidi="he-IL"/>
        </w:rPr>
        <w:t>מפעיל את סמכות</w:t>
      </w:r>
      <w:r>
        <w:rPr>
          <w:rFonts w:ascii="David" w:hAnsi="David" w:cs="David" w:hint="cs"/>
          <w:b/>
          <w:bCs/>
          <w:color w:val="000000" w:themeColor="text1"/>
          <w:rtl/>
          <w:lang w:bidi="he-IL"/>
        </w:rPr>
        <w:t xml:space="preserve">ו </w:t>
      </w:r>
      <w:r w:rsidRPr="00FB376E">
        <w:rPr>
          <w:rFonts w:ascii="David" w:hAnsi="David" w:cs="David" w:hint="cs"/>
          <w:b/>
          <w:bCs/>
          <w:color w:val="000000" w:themeColor="text1"/>
          <w:rtl/>
          <w:lang w:bidi="he-IL"/>
        </w:rPr>
        <w:t>לפי סעיף 12(א)</w:t>
      </w:r>
      <w:r w:rsidRPr="00FB376E">
        <w:rPr>
          <w:rFonts w:ascii="David" w:hAnsi="David" w:cs="David" w:hint="cs"/>
          <w:b/>
          <w:bCs/>
          <w:color w:val="000000" w:themeColor="text1"/>
          <w:lang w:bidi="he-IL"/>
        </w:rPr>
        <w:t xml:space="preserve"> </w:t>
      </w:r>
      <w:r w:rsidRPr="00FB376E">
        <w:rPr>
          <w:rFonts w:ascii="David" w:hAnsi="David" w:cs="David" w:hint="cs"/>
          <w:b/>
          <w:bCs/>
          <w:color w:val="000000" w:themeColor="text1"/>
          <w:rtl/>
          <w:lang w:bidi="he-IL"/>
        </w:rPr>
        <w:t xml:space="preserve">לנוהל בית-הדין, ובהתאם: </w:t>
      </w:r>
    </w:p>
    <w:p w14:paraId="2D50D0EB" w14:textId="5A53892E" w:rsidR="00FB376E" w:rsidRPr="00A53B8E" w:rsidRDefault="00FB376E" w:rsidP="00FB376E">
      <w:pPr>
        <w:pStyle w:val="a3"/>
        <w:numPr>
          <w:ilvl w:val="0"/>
          <w:numId w:val="22"/>
        </w:numPr>
        <w:bidi/>
        <w:spacing w:line="360" w:lineRule="auto"/>
        <w:ind w:left="1138" w:hanging="425"/>
        <w:jc w:val="both"/>
        <w:rPr>
          <w:rFonts w:ascii="David" w:hAnsi="David" w:cs="David"/>
          <w:b/>
          <w:bCs/>
          <w:color w:val="000000" w:themeColor="text1"/>
          <w:lang w:bidi="he-IL"/>
        </w:rPr>
      </w:pPr>
      <w:r>
        <w:rPr>
          <w:rFonts w:ascii="David" w:hAnsi="David" w:cs="David" w:hint="cs"/>
          <w:b/>
          <w:bCs/>
          <w:color w:val="000000" w:themeColor="text1"/>
          <w:rtl/>
          <w:lang w:bidi="he-IL"/>
        </w:rPr>
        <w:t xml:space="preserve">אנו </w:t>
      </w:r>
      <w:r w:rsidRPr="00A53B8E">
        <w:rPr>
          <w:rFonts w:ascii="David" w:hAnsi="David" w:cs="David" w:hint="cs"/>
          <w:b/>
          <w:bCs/>
          <w:color w:val="000000" w:themeColor="text1"/>
          <w:rtl/>
          <w:lang w:bidi="he-IL"/>
        </w:rPr>
        <w:t>מור</w:t>
      </w:r>
      <w:r>
        <w:rPr>
          <w:rFonts w:ascii="David" w:hAnsi="David" w:cs="David" w:hint="cs"/>
          <w:b/>
          <w:bCs/>
          <w:color w:val="000000" w:themeColor="text1"/>
          <w:rtl/>
          <w:lang w:bidi="he-IL"/>
        </w:rPr>
        <w:t>ים</w:t>
      </w:r>
      <w:r w:rsidRPr="00A53B8E">
        <w:rPr>
          <w:rFonts w:ascii="David" w:hAnsi="David" w:cs="David" w:hint="cs"/>
          <w:b/>
          <w:bCs/>
          <w:color w:val="000000" w:themeColor="text1"/>
          <w:rtl/>
          <w:lang w:bidi="he-IL"/>
        </w:rPr>
        <w:t xml:space="preserve"> למשיבה 1</w:t>
      </w:r>
      <w:r>
        <w:rPr>
          <w:rFonts w:ascii="David" w:hAnsi="David" w:cs="David" w:hint="cs"/>
          <w:b/>
          <w:bCs/>
          <w:color w:val="000000" w:themeColor="text1"/>
          <w:rtl/>
          <w:lang w:bidi="he-IL"/>
        </w:rPr>
        <w:t xml:space="preserve">, ידיעות אחרונות, </w:t>
      </w:r>
      <w:r w:rsidRPr="00A53B8E">
        <w:rPr>
          <w:rFonts w:ascii="David" w:hAnsi="David" w:cs="David" w:hint="cs"/>
          <w:b/>
          <w:bCs/>
          <w:color w:val="000000" w:themeColor="text1"/>
          <w:rtl/>
          <w:lang w:bidi="he-IL"/>
        </w:rPr>
        <w:t>להשעות את</w:t>
      </w:r>
      <w:r>
        <w:rPr>
          <w:rFonts w:ascii="David" w:hAnsi="David" w:cs="David" w:hint="cs"/>
          <w:b/>
          <w:bCs/>
          <w:color w:val="000000" w:themeColor="text1"/>
          <w:rtl/>
          <w:lang w:bidi="he-IL"/>
        </w:rPr>
        <w:t xml:space="preserve"> המשיבה 2, ארנון (נוני)</w:t>
      </w:r>
      <w:r w:rsidRPr="00A53B8E">
        <w:rPr>
          <w:rFonts w:ascii="David" w:hAnsi="David" w:cs="David" w:hint="cs"/>
          <w:b/>
          <w:bCs/>
          <w:color w:val="000000" w:themeColor="text1"/>
          <w:rtl/>
          <w:lang w:bidi="he-IL"/>
        </w:rPr>
        <w:t xml:space="preserve"> מוזס</w:t>
      </w:r>
      <w:r>
        <w:rPr>
          <w:rFonts w:ascii="David" w:hAnsi="David" w:cs="David" w:hint="cs"/>
          <w:b/>
          <w:bCs/>
          <w:color w:val="000000" w:themeColor="text1"/>
          <w:rtl/>
          <w:lang w:bidi="he-IL"/>
        </w:rPr>
        <w:t>,</w:t>
      </w:r>
      <w:r w:rsidRPr="00A53B8E">
        <w:rPr>
          <w:rFonts w:ascii="David" w:hAnsi="David" w:cs="David" w:hint="cs"/>
          <w:b/>
          <w:bCs/>
          <w:color w:val="000000" w:themeColor="text1"/>
          <w:rtl/>
          <w:lang w:bidi="he-IL"/>
        </w:rPr>
        <w:t xml:space="preserve"> מעבודתו העיתונאית עד להכרעה הסופית בהליך הפלילי המתנהל נגדו בפרשת 2000. </w:t>
      </w:r>
    </w:p>
    <w:p w14:paraId="106B99CC" w14:textId="51C29109" w:rsidR="00FB376E" w:rsidRPr="00A53B8E" w:rsidRDefault="00FB376E" w:rsidP="00FB376E">
      <w:pPr>
        <w:pStyle w:val="a3"/>
        <w:numPr>
          <w:ilvl w:val="0"/>
          <w:numId w:val="22"/>
        </w:numPr>
        <w:bidi/>
        <w:spacing w:line="360" w:lineRule="auto"/>
        <w:ind w:left="1138" w:hanging="425"/>
        <w:jc w:val="both"/>
        <w:rPr>
          <w:rFonts w:ascii="David" w:hAnsi="David" w:cs="David"/>
          <w:b/>
          <w:bCs/>
          <w:color w:val="000000" w:themeColor="text1"/>
          <w:lang w:bidi="he-IL"/>
        </w:rPr>
      </w:pPr>
      <w:r w:rsidRPr="00E14D32">
        <w:rPr>
          <w:rFonts w:ascii="David" w:hAnsi="David" w:cs="David" w:hint="cs"/>
          <w:b/>
          <w:bCs/>
          <w:color w:val="000000" w:themeColor="text1"/>
          <w:rtl/>
          <w:lang w:bidi="he-IL"/>
        </w:rPr>
        <w:t>בנוסף</w:t>
      </w:r>
      <w:r w:rsidRPr="00A53B8E">
        <w:rPr>
          <w:rFonts w:ascii="David" w:hAnsi="David" w:cs="David" w:hint="cs"/>
          <w:b/>
          <w:bCs/>
          <w:color w:val="000000" w:themeColor="text1"/>
          <w:rtl/>
          <w:lang w:bidi="he-IL"/>
        </w:rPr>
        <w:t>, בהתאם לסעיף 10(א) לנוהל בית-הדין, אנ</w:t>
      </w:r>
      <w:r>
        <w:rPr>
          <w:rFonts w:ascii="David" w:hAnsi="David" w:cs="David" w:hint="cs"/>
          <w:b/>
          <w:bCs/>
          <w:color w:val="000000" w:themeColor="text1"/>
          <w:rtl/>
          <w:lang w:bidi="he-IL"/>
        </w:rPr>
        <w:t>חנו</w:t>
      </w:r>
      <w:r w:rsidRPr="00A53B8E">
        <w:rPr>
          <w:rFonts w:ascii="David" w:hAnsi="David" w:cs="David" w:hint="cs"/>
          <w:b/>
          <w:bCs/>
          <w:color w:val="000000" w:themeColor="text1"/>
          <w:rtl/>
          <w:lang w:bidi="he-IL"/>
        </w:rPr>
        <w:t xml:space="preserve"> מור</w:t>
      </w:r>
      <w:r>
        <w:rPr>
          <w:rFonts w:ascii="David" w:hAnsi="David" w:cs="David" w:hint="cs"/>
          <w:b/>
          <w:bCs/>
          <w:color w:val="000000" w:themeColor="text1"/>
          <w:rtl/>
          <w:lang w:bidi="he-IL"/>
        </w:rPr>
        <w:t>ים</w:t>
      </w:r>
      <w:r w:rsidRPr="00A53B8E">
        <w:rPr>
          <w:rFonts w:ascii="David" w:hAnsi="David" w:cs="David" w:hint="cs"/>
          <w:b/>
          <w:bCs/>
          <w:color w:val="000000" w:themeColor="text1"/>
          <w:rtl/>
          <w:lang w:bidi="he-IL"/>
        </w:rPr>
        <w:t xml:space="preserve"> על פרסום </w:t>
      </w:r>
      <w:r>
        <w:rPr>
          <w:rFonts w:ascii="David" w:hAnsi="David" w:cs="David" w:hint="cs"/>
          <w:b/>
          <w:bCs/>
          <w:color w:val="000000" w:themeColor="text1"/>
          <w:rtl/>
          <w:lang w:bidi="he-IL"/>
        </w:rPr>
        <w:t>פסק-דין זה</w:t>
      </w:r>
      <w:r w:rsidRPr="00A53B8E">
        <w:rPr>
          <w:rFonts w:ascii="David" w:hAnsi="David" w:cs="David" w:hint="cs"/>
          <w:b/>
          <w:bCs/>
          <w:color w:val="000000" w:themeColor="text1"/>
          <w:rtl/>
          <w:lang w:bidi="he-IL"/>
        </w:rPr>
        <w:t xml:space="preserve"> באמצעי התקשורת, בהקדם האפשרי ובהבלטה הראויה.  </w:t>
      </w:r>
    </w:p>
    <w:p w14:paraId="075F7EFB" w14:textId="6479E761" w:rsidR="00594EB7" w:rsidRDefault="00594EB7" w:rsidP="00FB376E">
      <w:pPr>
        <w:shd w:val="clear" w:color="auto" w:fill="FFFFFF"/>
        <w:bidi/>
        <w:spacing w:line="360" w:lineRule="auto"/>
        <w:ind w:left="1138" w:hanging="425"/>
        <w:jc w:val="both"/>
        <w:rPr>
          <w:rFonts w:ascii="David" w:eastAsia="Times New Roman" w:hAnsi="David" w:cs="David"/>
          <w:color w:val="000000"/>
          <w:rtl/>
        </w:rPr>
      </w:pPr>
    </w:p>
    <w:p w14:paraId="16B96DBB" w14:textId="40976712" w:rsidR="00A742A8" w:rsidRDefault="00A742A8" w:rsidP="00931E87">
      <w:pPr>
        <w:shd w:val="clear" w:color="auto" w:fill="FFFFFF"/>
        <w:bidi/>
        <w:spacing w:line="360" w:lineRule="auto"/>
        <w:ind w:left="1138" w:hanging="425"/>
        <w:jc w:val="both"/>
        <w:rPr>
          <w:rFonts w:ascii="David" w:eastAsia="Times New Roman" w:hAnsi="David" w:cs="David"/>
          <w:b/>
          <w:bCs/>
          <w:color w:val="000000"/>
          <w:rtl/>
          <w:lang w:bidi="he-IL"/>
        </w:rPr>
      </w:pPr>
      <w:r w:rsidRPr="00A742A8">
        <w:rPr>
          <w:rFonts w:ascii="David" w:eastAsia="Times New Roman" w:hAnsi="David" w:cs="David" w:hint="cs"/>
          <w:b/>
          <w:bCs/>
          <w:color w:val="000000"/>
          <w:rtl/>
          <w:lang w:bidi="he-IL"/>
        </w:rPr>
        <w:t>מזכירות בית-הדין תמצ</w:t>
      </w:r>
      <w:r w:rsidR="00931E87">
        <w:rPr>
          <w:rFonts w:ascii="David" w:eastAsia="Times New Roman" w:hAnsi="David" w:cs="David" w:hint="cs"/>
          <w:b/>
          <w:bCs/>
          <w:color w:val="000000"/>
          <w:rtl/>
          <w:lang w:bidi="he-IL"/>
        </w:rPr>
        <w:t>י</w:t>
      </w:r>
      <w:r w:rsidRPr="00A742A8">
        <w:rPr>
          <w:rFonts w:ascii="David" w:eastAsia="Times New Roman" w:hAnsi="David" w:cs="David" w:hint="cs"/>
          <w:b/>
          <w:bCs/>
          <w:color w:val="000000"/>
          <w:rtl/>
          <w:lang w:bidi="he-IL"/>
        </w:rPr>
        <w:t>א עותק מפסק-דין זה לצדדים.</w:t>
      </w:r>
    </w:p>
    <w:p w14:paraId="288E4542" w14:textId="77777777" w:rsidR="006825D3" w:rsidRPr="006825D3" w:rsidRDefault="006825D3" w:rsidP="006825D3">
      <w:pPr>
        <w:shd w:val="clear" w:color="auto" w:fill="FFFFFF"/>
        <w:bidi/>
        <w:spacing w:line="360" w:lineRule="auto"/>
        <w:ind w:left="1138" w:hanging="425"/>
        <w:jc w:val="both"/>
        <w:rPr>
          <w:rFonts w:ascii="David" w:eastAsia="Times New Roman" w:hAnsi="David" w:cs="David"/>
          <w:b/>
          <w:bCs/>
          <w:color w:val="000000"/>
          <w:rtl/>
          <w:lang w:bidi="he-IL"/>
        </w:rPr>
      </w:pPr>
    </w:p>
    <w:p w14:paraId="2FB094C1" w14:textId="13F8A6FC" w:rsidR="00A742A8" w:rsidRDefault="00A742A8" w:rsidP="00931E87">
      <w:pPr>
        <w:shd w:val="clear" w:color="auto" w:fill="FFFFFF"/>
        <w:bidi/>
        <w:spacing w:line="360" w:lineRule="auto"/>
        <w:ind w:left="1138" w:hanging="425"/>
        <w:jc w:val="both"/>
        <w:rPr>
          <w:rFonts w:ascii="David" w:eastAsia="Times New Roman" w:hAnsi="David" w:cs="David"/>
          <w:b/>
          <w:bCs/>
          <w:color w:val="000000"/>
          <w:rtl/>
          <w:lang w:bidi="he-IL"/>
        </w:rPr>
      </w:pPr>
      <w:r w:rsidRPr="006825D3">
        <w:rPr>
          <w:rFonts w:ascii="David" w:eastAsia="Times New Roman" w:hAnsi="David" w:cs="David" w:hint="cs"/>
          <w:b/>
          <w:bCs/>
          <w:color w:val="000000"/>
          <w:rtl/>
          <w:lang w:bidi="he-IL"/>
        </w:rPr>
        <w:t>ניתן ביום</w:t>
      </w:r>
      <w:r w:rsidR="006825D3">
        <w:rPr>
          <w:rFonts w:ascii="David" w:eastAsia="Times New Roman" w:hAnsi="David" w:cs="David" w:hint="cs"/>
          <w:b/>
          <w:bCs/>
          <w:color w:val="000000"/>
          <w:rtl/>
          <w:lang w:bidi="he-IL"/>
        </w:rPr>
        <w:t>:</w:t>
      </w:r>
      <w:r w:rsidRPr="006825D3">
        <w:rPr>
          <w:rFonts w:ascii="David" w:eastAsia="Times New Roman" w:hAnsi="David" w:cs="David" w:hint="cs"/>
          <w:b/>
          <w:bCs/>
          <w:color w:val="000000"/>
          <w:rtl/>
          <w:lang w:bidi="he-IL"/>
        </w:rPr>
        <w:t xml:space="preserve"> </w:t>
      </w:r>
      <w:r w:rsidR="006825D3" w:rsidRPr="006825D3">
        <w:rPr>
          <w:rFonts w:ascii="David" w:eastAsia="Times New Roman" w:hAnsi="David" w:cs="David" w:hint="cs"/>
          <w:b/>
          <w:bCs/>
          <w:color w:val="000000"/>
          <w:u w:val="single"/>
          <w:rtl/>
          <w:lang w:bidi="he-IL"/>
        </w:rPr>
        <w:t>29</w:t>
      </w:r>
      <w:r w:rsidR="00931E87">
        <w:rPr>
          <w:rFonts w:ascii="David" w:eastAsia="Times New Roman" w:hAnsi="David" w:cs="David" w:hint="cs"/>
          <w:b/>
          <w:bCs/>
          <w:color w:val="000000"/>
          <w:u w:val="single"/>
          <w:rtl/>
          <w:lang w:bidi="he-IL"/>
        </w:rPr>
        <w:t>.</w:t>
      </w:r>
      <w:r w:rsidR="006825D3" w:rsidRPr="006825D3">
        <w:rPr>
          <w:rFonts w:ascii="David" w:eastAsia="Times New Roman" w:hAnsi="David" w:cs="David" w:hint="cs"/>
          <w:b/>
          <w:bCs/>
          <w:color w:val="000000"/>
          <w:u w:val="single"/>
          <w:rtl/>
          <w:lang w:bidi="he-IL"/>
        </w:rPr>
        <w:t>12</w:t>
      </w:r>
      <w:r w:rsidR="00931E87">
        <w:rPr>
          <w:rFonts w:ascii="David" w:eastAsia="Times New Roman" w:hAnsi="David" w:cs="David" w:hint="cs"/>
          <w:b/>
          <w:bCs/>
          <w:color w:val="000000"/>
          <w:u w:val="single"/>
          <w:rtl/>
          <w:lang w:bidi="he-IL"/>
        </w:rPr>
        <w:t>.</w:t>
      </w:r>
      <w:r w:rsidR="006825D3" w:rsidRPr="006825D3">
        <w:rPr>
          <w:rFonts w:ascii="David" w:eastAsia="Times New Roman" w:hAnsi="David" w:cs="David" w:hint="cs"/>
          <w:b/>
          <w:bCs/>
          <w:color w:val="000000"/>
          <w:u w:val="single"/>
          <w:rtl/>
          <w:lang w:bidi="he-IL"/>
        </w:rPr>
        <w:t>2020</w:t>
      </w:r>
      <w:r w:rsidR="006825D3" w:rsidRPr="006825D3">
        <w:rPr>
          <w:rFonts w:ascii="David" w:eastAsia="Times New Roman" w:hAnsi="David" w:cs="David" w:hint="cs"/>
          <w:b/>
          <w:bCs/>
          <w:color w:val="000000"/>
          <w:rtl/>
          <w:lang w:bidi="he-IL"/>
        </w:rPr>
        <w:t>.</w:t>
      </w:r>
    </w:p>
    <w:p w14:paraId="729B4F17" w14:textId="59841C53" w:rsidR="006825D3" w:rsidRDefault="006825D3" w:rsidP="006825D3">
      <w:pPr>
        <w:shd w:val="clear" w:color="auto" w:fill="FFFFFF"/>
        <w:bidi/>
        <w:spacing w:line="360" w:lineRule="auto"/>
        <w:ind w:left="1138" w:hanging="425"/>
        <w:jc w:val="both"/>
        <w:rPr>
          <w:rFonts w:ascii="David" w:eastAsia="Times New Roman" w:hAnsi="David" w:cs="David"/>
          <w:b/>
          <w:bCs/>
          <w:color w:val="000000"/>
          <w:rtl/>
          <w:lang w:bidi="he-IL"/>
        </w:rPr>
      </w:pPr>
    </w:p>
    <w:p w14:paraId="3C3F8CFF" w14:textId="6D10DB3D" w:rsidR="00843530" w:rsidRDefault="00843530" w:rsidP="00843530">
      <w:pPr>
        <w:shd w:val="clear" w:color="auto" w:fill="FFFFFF"/>
        <w:bidi/>
        <w:spacing w:line="360" w:lineRule="auto"/>
        <w:ind w:left="1138" w:hanging="425"/>
        <w:jc w:val="both"/>
        <w:rPr>
          <w:rFonts w:ascii="David" w:eastAsia="Times New Roman" w:hAnsi="David" w:cs="David"/>
          <w:b/>
          <w:bCs/>
          <w:color w:val="000000"/>
          <w:rtl/>
          <w:lang w:bidi="he-IL"/>
        </w:rPr>
      </w:pPr>
    </w:p>
    <w:p w14:paraId="3AB7B3BD" w14:textId="77777777" w:rsidR="00843530" w:rsidRPr="00A742A8" w:rsidRDefault="00843530" w:rsidP="00843530">
      <w:pPr>
        <w:shd w:val="clear" w:color="auto" w:fill="FFFFFF"/>
        <w:bidi/>
        <w:spacing w:line="360" w:lineRule="auto"/>
        <w:ind w:left="1138" w:hanging="425"/>
        <w:jc w:val="both"/>
        <w:rPr>
          <w:rFonts w:ascii="David" w:eastAsia="Times New Roman" w:hAnsi="David" w:cs="David"/>
          <w:b/>
          <w:bCs/>
          <w:color w:val="000000"/>
          <w:lang w:bidi="he-IL"/>
        </w:rPr>
      </w:pPr>
    </w:p>
    <w:p w14:paraId="2426CB30" w14:textId="6B8654DB" w:rsidR="00594EB7" w:rsidRPr="00594EB7" w:rsidRDefault="00FB376E" w:rsidP="006825D3">
      <w:pPr>
        <w:bidi/>
        <w:spacing w:line="360" w:lineRule="auto"/>
        <w:jc w:val="both"/>
        <w:rPr>
          <w:rFonts w:ascii="David" w:hAnsi="David" w:cs="David"/>
          <w:b/>
          <w:bCs/>
          <w:u w:val="single"/>
          <w:rtl/>
          <w:lang w:bidi="he-IL"/>
        </w:rPr>
      </w:pPr>
      <w:r w:rsidRPr="00777872">
        <w:rPr>
          <w:rFonts w:ascii="David" w:hAnsi="David" w:cs="David" w:hint="cs"/>
          <w:b/>
          <w:bCs/>
          <w:noProof/>
          <w:rtl/>
          <w:lang w:bidi="he-IL"/>
        </w:rPr>
        <w:drawing>
          <wp:inline distT="0" distB="0" distL="0" distR="0" wp14:anchorId="1B723E16" wp14:editId="7A654DC7">
            <wp:extent cx="1866223" cy="425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0062" cy="442283"/>
                    </a:xfrm>
                    <a:prstGeom prst="rect">
                      <a:avLst/>
                    </a:prstGeom>
                  </pic:spPr>
                </pic:pic>
              </a:graphicData>
            </a:graphic>
          </wp:inline>
        </w:drawing>
      </w:r>
    </w:p>
    <w:p w14:paraId="7408A13C" w14:textId="20116D86" w:rsidR="00B34011" w:rsidRPr="00B34011" w:rsidRDefault="00B34011" w:rsidP="006825D3">
      <w:pPr>
        <w:bidi/>
        <w:spacing w:line="360" w:lineRule="auto"/>
        <w:jc w:val="both"/>
        <w:rPr>
          <w:rFonts w:ascii="David" w:hAnsi="David" w:cs="David"/>
          <w:b/>
          <w:bCs/>
          <w:rtl/>
          <w:lang w:bidi="he-IL"/>
        </w:rPr>
      </w:pPr>
      <w:r w:rsidRPr="00B34011">
        <w:rPr>
          <w:rFonts w:ascii="David" w:hAnsi="David" w:cs="David" w:hint="cs"/>
          <w:b/>
          <w:bCs/>
          <w:rtl/>
          <w:lang w:bidi="he-IL"/>
        </w:rPr>
        <w:t>_______________________</w:t>
      </w:r>
      <w:r>
        <w:rPr>
          <w:rFonts w:ascii="David" w:hAnsi="David" w:cs="David" w:hint="cs"/>
          <w:b/>
          <w:bCs/>
          <w:rtl/>
          <w:lang w:bidi="he-IL"/>
        </w:rPr>
        <w:t>____</w:t>
      </w:r>
      <w:r w:rsidRPr="00B34011">
        <w:rPr>
          <w:rFonts w:ascii="David" w:hAnsi="David" w:cs="David" w:hint="cs"/>
          <w:b/>
          <w:bCs/>
          <w:rtl/>
          <w:lang w:bidi="he-IL"/>
        </w:rPr>
        <w:t xml:space="preserve">    </w:t>
      </w:r>
      <w:r>
        <w:rPr>
          <w:rFonts w:ascii="David" w:hAnsi="David" w:cs="David" w:hint="cs"/>
          <w:b/>
          <w:bCs/>
          <w:rtl/>
          <w:lang w:bidi="he-IL"/>
        </w:rPr>
        <w:t xml:space="preserve">                               </w:t>
      </w:r>
      <w:r w:rsidRPr="00B34011">
        <w:rPr>
          <w:rFonts w:ascii="David" w:hAnsi="David" w:cs="David" w:hint="cs"/>
          <w:b/>
          <w:bCs/>
          <w:rtl/>
          <w:lang w:bidi="he-IL"/>
        </w:rPr>
        <w:t xml:space="preserve">       ______________________</w:t>
      </w:r>
      <w:r>
        <w:rPr>
          <w:rFonts w:ascii="David" w:hAnsi="David" w:cs="David" w:hint="cs"/>
          <w:b/>
          <w:bCs/>
          <w:rtl/>
          <w:lang w:bidi="he-IL"/>
        </w:rPr>
        <w:t>________</w:t>
      </w:r>
    </w:p>
    <w:p w14:paraId="7EACE773" w14:textId="33705D27" w:rsidR="00B34011" w:rsidRPr="00B34011" w:rsidRDefault="00B34011" w:rsidP="006825D3">
      <w:pPr>
        <w:bidi/>
        <w:spacing w:line="360" w:lineRule="auto"/>
        <w:ind w:left="4"/>
        <w:jc w:val="both"/>
        <w:rPr>
          <w:rFonts w:ascii="David" w:hAnsi="David" w:cs="David"/>
          <w:b/>
          <w:bCs/>
          <w:rtl/>
          <w:lang w:bidi="he-IL"/>
        </w:rPr>
      </w:pPr>
      <w:r>
        <w:rPr>
          <w:rFonts w:ascii="David" w:hAnsi="David" w:cs="David" w:hint="cs"/>
          <w:b/>
          <w:bCs/>
          <w:rtl/>
          <w:lang w:bidi="he-IL"/>
        </w:rPr>
        <w:t xml:space="preserve">         </w:t>
      </w:r>
      <w:r w:rsidRPr="00B34011">
        <w:rPr>
          <w:rFonts w:ascii="David" w:hAnsi="David" w:cs="David" w:hint="cs"/>
          <w:b/>
          <w:bCs/>
          <w:rtl/>
          <w:lang w:bidi="he-IL"/>
        </w:rPr>
        <w:t xml:space="preserve">פרופ׳ מוחמד ותד (יו״ר) </w:t>
      </w:r>
      <w:r>
        <w:rPr>
          <w:rFonts w:ascii="David" w:hAnsi="David" w:cs="David" w:hint="cs"/>
          <w:b/>
          <w:bCs/>
          <w:rtl/>
          <w:lang w:bidi="he-IL"/>
        </w:rPr>
        <w:t xml:space="preserve">                                                           </w:t>
      </w:r>
      <w:r w:rsidRPr="00B34011">
        <w:rPr>
          <w:rFonts w:ascii="David" w:hAnsi="David" w:cs="David" w:hint="cs"/>
          <w:b/>
          <w:bCs/>
          <w:rtl/>
          <w:lang w:bidi="he-IL"/>
        </w:rPr>
        <w:t>השופטת (בדימוס) זיוה הדסי-הרמן</w:t>
      </w:r>
    </w:p>
    <w:p w14:paraId="0F586C04" w14:textId="3490A2AF" w:rsidR="00B34011" w:rsidRDefault="00B34011" w:rsidP="006825D3">
      <w:pPr>
        <w:bidi/>
        <w:spacing w:line="360" w:lineRule="auto"/>
        <w:jc w:val="both"/>
        <w:rPr>
          <w:rFonts w:ascii="David" w:hAnsi="David" w:cs="David"/>
          <w:b/>
          <w:bCs/>
          <w:rtl/>
          <w:lang w:bidi="he-IL"/>
        </w:rPr>
      </w:pPr>
    </w:p>
    <w:p w14:paraId="2BBDD331" w14:textId="77777777" w:rsidR="006825D3" w:rsidRPr="00B34011" w:rsidRDefault="006825D3" w:rsidP="006825D3">
      <w:pPr>
        <w:bidi/>
        <w:spacing w:line="360" w:lineRule="auto"/>
        <w:jc w:val="both"/>
        <w:rPr>
          <w:rFonts w:ascii="David" w:hAnsi="David" w:cs="David"/>
          <w:b/>
          <w:bCs/>
          <w:rtl/>
          <w:lang w:bidi="he-IL"/>
        </w:rPr>
      </w:pPr>
    </w:p>
    <w:p w14:paraId="384DED2C" w14:textId="77777777" w:rsidR="00B34011" w:rsidRPr="00B34011" w:rsidRDefault="00B34011" w:rsidP="006825D3">
      <w:pPr>
        <w:bidi/>
        <w:spacing w:line="360" w:lineRule="auto"/>
        <w:jc w:val="both"/>
        <w:rPr>
          <w:rFonts w:ascii="David" w:hAnsi="David" w:cs="David"/>
          <w:b/>
          <w:bCs/>
          <w:rtl/>
          <w:lang w:bidi="he-IL"/>
        </w:rPr>
      </w:pPr>
      <w:r w:rsidRPr="00B34011">
        <w:rPr>
          <w:rFonts w:ascii="David" w:hAnsi="David" w:cs="David" w:hint="cs"/>
          <w:b/>
          <w:bCs/>
          <w:rtl/>
          <w:lang w:bidi="he-IL"/>
        </w:rPr>
        <w:t>_______________________</w:t>
      </w:r>
      <w:r>
        <w:rPr>
          <w:rFonts w:ascii="David" w:hAnsi="David" w:cs="David" w:hint="cs"/>
          <w:b/>
          <w:bCs/>
          <w:rtl/>
          <w:lang w:bidi="he-IL"/>
        </w:rPr>
        <w:t>____</w:t>
      </w:r>
      <w:r w:rsidRPr="00B34011">
        <w:rPr>
          <w:rFonts w:ascii="David" w:hAnsi="David" w:cs="David" w:hint="cs"/>
          <w:b/>
          <w:bCs/>
          <w:rtl/>
          <w:lang w:bidi="he-IL"/>
        </w:rPr>
        <w:t xml:space="preserve">    </w:t>
      </w:r>
      <w:r>
        <w:rPr>
          <w:rFonts w:ascii="David" w:hAnsi="David" w:cs="David" w:hint="cs"/>
          <w:b/>
          <w:bCs/>
          <w:rtl/>
          <w:lang w:bidi="he-IL"/>
        </w:rPr>
        <w:t xml:space="preserve">                               </w:t>
      </w:r>
      <w:r w:rsidRPr="00B34011">
        <w:rPr>
          <w:rFonts w:ascii="David" w:hAnsi="David" w:cs="David" w:hint="cs"/>
          <w:b/>
          <w:bCs/>
          <w:rtl/>
          <w:lang w:bidi="he-IL"/>
        </w:rPr>
        <w:t xml:space="preserve">       ______________________</w:t>
      </w:r>
      <w:r>
        <w:rPr>
          <w:rFonts w:ascii="David" w:hAnsi="David" w:cs="David" w:hint="cs"/>
          <w:b/>
          <w:bCs/>
          <w:rtl/>
          <w:lang w:bidi="he-IL"/>
        </w:rPr>
        <w:t>________</w:t>
      </w:r>
    </w:p>
    <w:p w14:paraId="04531613" w14:textId="452ACB77" w:rsidR="00B34011" w:rsidRPr="00B34011" w:rsidRDefault="00B34011" w:rsidP="00931E87">
      <w:pPr>
        <w:bidi/>
        <w:spacing w:line="360" w:lineRule="auto"/>
        <w:ind w:left="4"/>
        <w:jc w:val="both"/>
        <w:rPr>
          <w:rFonts w:ascii="David" w:hAnsi="David" w:cs="David"/>
          <w:b/>
          <w:bCs/>
          <w:rtl/>
          <w:lang w:bidi="he-IL"/>
        </w:rPr>
      </w:pPr>
      <w:r>
        <w:rPr>
          <w:rFonts w:ascii="David" w:hAnsi="David" w:cs="David" w:hint="cs"/>
          <w:b/>
          <w:bCs/>
          <w:rtl/>
          <w:lang w:bidi="he-IL"/>
        </w:rPr>
        <w:t xml:space="preserve">              </w:t>
      </w:r>
      <w:r w:rsidRPr="00B34011">
        <w:rPr>
          <w:rFonts w:ascii="David" w:hAnsi="David" w:cs="David" w:hint="cs"/>
          <w:b/>
          <w:bCs/>
          <w:rtl/>
          <w:lang w:bidi="he-IL"/>
        </w:rPr>
        <w:t>עו״ד עצמון</w:t>
      </w:r>
      <w:r w:rsidR="005E764A">
        <w:rPr>
          <w:rFonts w:ascii="David" w:hAnsi="David" w:cs="David" w:hint="cs"/>
          <w:b/>
          <w:bCs/>
          <w:rtl/>
          <w:lang w:bidi="he-IL"/>
        </w:rPr>
        <w:t xml:space="preserve"> יניב</w:t>
      </w:r>
      <w:r>
        <w:rPr>
          <w:rFonts w:ascii="David" w:hAnsi="David" w:cs="David" w:hint="cs"/>
          <w:b/>
          <w:bCs/>
          <w:rtl/>
          <w:lang w:bidi="he-IL"/>
        </w:rPr>
        <w:t xml:space="preserve">                                                                                     </w:t>
      </w:r>
      <w:r w:rsidRPr="00B34011">
        <w:rPr>
          <w:rFonts w:ascii="David" w:hAnsi="David" w:cs="David" w:hint="cs"/>
          <w:b/>
          <w:bCs/>
          <w:rtl/>
          <w:lang w:bidi="he-IL"/>
        </w:rPr>
        <w:t>ד״ר צגה מלקו</w:t>
      </w:r>
    </w:p>
    <w:p w14:paraId="3C1887D6" w14:textId="2C5BBA72" w:rsidR="00626ABE" w:rsidRDefault="00626ABE" w:rsidP="006825D3">
      <w:pPr>
        <w:bidi/>
        <w:spacing w:line="360" w:lineRule="auto"/>
        <w:jc w:val="both"/>
        <w:rPr>
          <w:rFonts w:ascii="David" w:hAnsi="David" w:cs="David"/>
          <w:b/>
          <w:bCs/>
          <w:rtl/>
          <w:lang w:bidi="he-IL"/>
        </w:rPr>
      </w:pPr>
    </w:p>
    <w:p w14:paraId="560C715E" w14:textId="77777777" w:rsidR="006825D3" w:rsidRPr="00B34011" w:rsidRDefault="006825D3" w:rsidP="006825D3">
      <w:pPr>
        <w:bidi/>
        <w:spacing w:line="360" w:lineRule="auto"/>
        <w:jc w:val="both"/>
        <w:rPr>
          <w:rFonts w:ascii="David" w:hAnsi="David" w:cs="David"/>
          <w:b/>
          <w:bCs/>
          <w:rtl/>
          <w:lang w:bidi="he-IL"/>
        </w:rPr>
      </w:pPr>
    </w:p>
    <w:p w14:paraId="50D52358" w14:textId="77777777" w:rsidR="00B34011" w:rsidRPr="00B34011" w:rsidRDefault="00B34011" w:rsidP="006825D3">
      <w:pPr>
        <w:bidi/>
        <w:spacing w:line="360" w:lineRule="auto"/>
        <w:jc w:val="both"/>
        <w:rPr>
          <w:rFonts w:ascii="David" w:hAnsi="David" w:cs="David"/>
          <w:b/>
          <w:bCs/>
          <w:rtl/>
          <w:lang w:bidi="he-IL"/>
        </w:rPr>
      </w:pPr>
      <w:r w:rsidRPr="00B34011">
        <w:rPr>
          <w:rFonts w:ascii="David" w:hAnsi="David" w:cs="David" w:hint="cs"/>
          <w:b/>
          <w:bCs/>
          <w:rtl/>
          <w:lang w:bidi="he-IL"/>
        </w:rPr>
        <w:t>_______________________</w:t>
      </w:r>
      <w:r>
        <w:rPr>
          <w:rFonts w:ascii="David" w:hAnsi="David" w:cs="David" w:hint="cs"/>
          <w:b/>
          <w:bCs/>
          <w:rtl/>
          <w:lang w:bidi="he-IL"/>
        </w:rPr>
        <w:t>____</w:t>
      </w:r>
      <w:r w:rsidRPr="00B34011">
        <w:rPr>
          <w:rFonts w:ascii="David" w:hAnsi="David" w:cs="David" w:hint="cs"/>
          <w:b/>
          <w:bCs/>
          <w:rtl/>
          <w:lang w:bidi="he-IL"/>
        </w:rPr>
        <w:t xml:space="preserve">    </w:t>
      </w:r>
      <w:r>
        <w:rPr>
          <w:rFonts w:ascii="David" w:hAnsi="David" w:cs="David" w:hint="cs"/>
          <w:b/>
          <w:bCs/>
          <w:rtl/>
          <w:lang w:bidi="he-IL"/>
        </w:rPr>
        <w:t xml:space="preserve">                               </w:t>
      </w:r>
      <w:r w:rsidRPr="00B34011">
        <w:rPr>
          <w:rFonts w:ascii="David" w:hAnsi="David" w:cs="David" w:hint="cs"/>
          <w:b/>
          <w:bCs/>
          <w:rtl/>
          <w:lang w:bidi="he-IL"/>
        </w:rPr>
        <w:t xml:space="preserve">       ______________________</w:t>
      </w:r>
      <w:r>
        <w:rPr>
          <w:rFonts w:ascii="David" w:hAnsi="David" w:cs="David" w:hint="cs"/>
          <w:b/>
          <w:bCs/>
          <w:rtl/>
          <w:lang w:bidi="he-IL"/>
        </w:rPr>
        <w:t>________</w:t>
      </w:r>
    </w:p>
    <w:p w14:paraId="7A4C08B6" w14:textId="6485D673" w:rsidR="00B34011" w:rsidRPr="00B34011" w:rsidRDefault="00B34011" w:rsidP="006825D3">
      <w:pPr>
        <w:bidi/>
        <w:spacing w:line="360" w:lineRule="auto"/>
        <w:ind w:left="4"/>
        <w:jc w:val="both"/>
        <w:rPr>
          <w:rFonts w:ascii="David" w:hAnsi="David" w:cs="David"/>
          <w:b/>
          <w:bCs/>
          <w:rtl/>
          <w:lang w:bidi="he-IL"/>
        </w:rPr>
      </w:pPr>
      <w:r>
        <w:rPr>
          <w:rFonts w:ascii="David" w:hAnsi="David" w:cs="David" w:hint="cs"/>
          <w:b/>
          <w:bCs/>
          <w:rtl/>
          <w:lang w:bidi="he-IL"/>
        </w:rPr>
        <w:t xml:space="preserve">                 </w:t>
      </w:r>
      <w:r w:rsidRPr="00B34011">
        <w:rPr>
          <w:rFonts w:ascii="David" w:hAnsi="David" w:cs="David" w:hint="cs"/>
          <w:b/>
          <w:bCs/>
          <w:rtl/>
          <w:lang w:bidi="he-IL"/>
        </w:rPr>
        <w:t>ד״ר ערד ני</w:t>
      </w:r>
      <w:r>
        <w:rPr>
          <w:rFonts w:ascii="David" w:hAnsi="David" w:cs="David" w:hint="cs"/>
          <w:b/>
          <w:bCs/>
          <w:rtl/>
          <w:lang w:bidi="he-IL"/>
        </w:rPr>
        <w:t xml:space="preserve">ר                                                                                          </w:t>
      </w:r>
      <w:r w:rsidRPr="00B34011">
        <w:rPr>
          <w:rFonts w:ascii="David" w:hAnsi="David" w:cs="David" w:hint="cs"/>
          <w:b/>
          <w:bCs/>
          <w:rtl/>
          <w:lang w:bidi="he-IL"/>
        </w:rPr>
        <w:t xml:space="preserve">יונת </w:t>
      </w:r>
      <w:proofErr w:type="spellStart"/>
      <w:r w:rsidRPr="00B34011">
        <w:rPr>
          <w:rFonts w:ascii="David" w:hAnsi="David" w:cs="David" w:hint="cs"/>
          <w:b/>
          <w:bCs/>
          <w:rtl/>
          <w:lang w:bidi="he-IL"/>
        </w:rPr>
        <w:t>פרילינג</w:t>
      </w:r>
      <w:proofErr w:type="spellEnd"/>
    </w:p>
    <w:p w14:paraId="5A3F1B58" w14:textId="77777777" w:rsidR="00843530" w:rsidRDefault="00843530" w:rsidP="00843530">
      <w:pPr>
        <w:bidi/>
        <w:spacing w:line="360" w:lineRule="auto"/>
        <w:jc w:val="both"/>
        <w:rPr>
          <w:rFonts w:ascii="David" w:hAnsi="David" w:cs="David"/>
          <w:b/>
          <w:bCs/>
          <w:rtl/>
          <w:lang w:bidi="he-IL"/>
        </w:rPr>
      </w:pPr>
    </w:p>
    <w:p w14:paraId="03425518" w14:textId="77777777" w:rsidR="006825D3" w:rsidRPr="00B34011" w:rsidRDefault="006825D3" w:rsidP="006825D3">
      <w:pPr>
        <w:bidi/>
        <w:spacing w:line="360" w:lineRule="auto"/>
        <w:jc w:val="both"/>
        <w:rPr>
          <w:rFonts w:ascii="David" w:hAnsi="David" w:cs="David"/>
          <w:b/>
          <w:bCs/>
          <w:rtl/>
          <w:lang w:bidi="he-IL"/>
        </w:rPr>
      </w:pPr>
    </w:p>
    <w:p w14:paraId="38C5EB17" w14:textId="62408DEE" w:rsidR="00B34011" w:rsidRPr="00B34011" w:rsidRDefault="00B34011" w:rsidP="006825D3">
      <w:pPr>
        <w:bidi/>
        <w:spacing w:line="360" w:lineRule="auto"/>
        <w:jc w:val="both"/>
        <w:rPr>
          <w:rFonts w:ascii="David" w:hAnsi="David" w:cs="David"/>
          <w:b/>
          <w:bCs/>
          <w:rtl/>
          <w:lang w:bidi="he-IL"/>
        </w:rPr>
      </w:pPr>
      <w:r w:rsidRPr="00B34011">
        <w:rPr>
          <w:rFonts w:ascii="David" w:hAnsi="David" w:cs="David" w:hint="cs"/>
          <w:b/>
          <w:bCs/>
          <w:rtl/>
          <w:lang w:bidi="he-IL"/>
        </w:rPr>
        <w:t xml:space="preserve">_______________________             </w:t>
      </w:r>
    </w:p>
    <w:p w14:paraId="2711D753" w14:textId="1E65869E" w:rsidR="00B34011" w:rsidRPr="00B34011" w:rsidRDefault="00626ABE" w:rsidP="006825D3">
      <w:pPr>
        <w:bidi/>
        <w:spacing w:line="360" w:lineRule="auto"/>
        <w:jc w:val="both"/>
        <w:rPr>
          <w:rFonts w:ascii="David" w:hAnsi="David" w:cs="David"/>
          <w:b/>
          <w:bCs/>
          <w:rtl/>
          <w:lang w:bidi="he-IL"/>
        </w:rPr>
      </w:pPr>
      <w:r>
        <w:rPr>
          <w:rFonts w:ascii="David" w:hAnsi="David" w:cs="David" w:hint="cs"/>
          <w:b/>
          <w:bCs/>
          <w:rtl/>
          <w:lang w:bidi="he-IL"/>
        </w:rPr>
        <w:t xml:space="preserve">                  </w:t>
      </w:r>
      <w:r w:rsidR="00B34011" w:rsidRPr="00B34011">
        <w:rPr>
          <w:rFonts w:ascii="David" w:hAnsi="David" w:cs="David" w:hint="cs"/>
          <w:b/>
          <w:bCs/>
          <w:rtl/>
          <w:lang w:bidi="he-IL"/>
        </w:rPr>
        <w:t>שרי רוט</w:t>
      </w:r>
    </w:p>
    <w:p w14:paraId="04993E22" w14:textId="1A129B37" w:rsidR="00F61C76" w:rsidRPr="00B34011" w:rsidRDefault="00F61C76" w:rsidP="007F4925">
      <w:pPr>
        <w:bidi/>
        <w:spacing w:line="360" w:lineRule="auto"/>
        <w:jc w:val="both"/>
        <w:rPr>
          <w:rFonts w:ascii="David" w:hAnsi="David" w:cs="David"/>
          <w:b/>
          <w:bCs/>
          <w:rtl/>
          <w:lang w:bidi="he-IL"/>
        </w:rPr>
      </w:pPr>
    </w:p>
    <w:sectPr w:rsidR="00F61C76" w:rsidRPr="00B34011">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28C49" w14:textId="77777777" w:rsidR="00532E8C" w:rsidRDefault="00532E8C" w:rsidP="00085192">
      <w:r>
        <w:separator/>
      </w:r>
    </w:p>
  </w:endnote>
  <w:endnote w:type="continuationSeparator" w:id="0">
    <w:p w14:paraId="2EEB12AB" w14:textId="77777777" w:rsidR="00532E8C" w:rsidRDefault="00532E8C" w:rsidP="0008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505590476"/>
      <w:docPartObj>
        <w:docPartGallery w:val="Page Numbers (Bottom of Page)"/>
        <w:docPartUnique/>
      </w:docPartObj>
    </w:sdtPr>
    <w:sdtEndPr>
      <w:rPr>
        <w:rStyle w:val="a6"/>
      </w:rPr>
    </w:sdtEndPr>
    <w:sdtContent>
      <w:p w14:paraId="2F3E83A0" w14:textId="6996A413" w:rsidR="00085192" w:rsidRDefault="00085192" w:rsidP="00D27328">
        <w:pPr>
          <w:pStyle w:val="a4"/>
          <w:framePr w:wrap="none" w:vAnchor="text" w:hAnchor="margin" w:y="1"/>
          <w:rPr>
            <w:rStyle w:val="a6"/>
          </w:rPr>
        </w:pPr>
        <w:r>
          <w:rPr>
            <w:rStyle w:val="a6"/>
          </w:rPr>
          <w:fldChar w:fldCharType="begin"/>
        </w:r>
        <w:r>
          <w:rPr>
            <w:rStyle w:val="a6"/>
          </w:rPr>
          <w:instrText xml:space="preserve"> PAGE </w:instrText>
        </w:r>
        <w:r>
          <w:rPr>
            <w:rStyle w:val="a6"/>
          </w:rPr>
          <w:fldChar w:fldCharType="end"/>
        </w:r>
      </w:p>
    </w:sdtContent>
  </w:sdt>
  <w:p w14:paraId="77666BB2" w14:textId="77777777" w:rsidR="00085192" w:rsidRDefault="00085192" w:rsidP="00085192">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263732487"/>
      <w:docPartObj>
        <w:docPartGallery w:val="Page Numbers (Bottom of Page)"/>
        <w:docPartUnique/>
      </w:docPartObj>
    </w:sdtPr>
    <w:sdtEndPr>
      <w:rPr>
        <w:rStyle w:val="a6"/>
      </w:rPr>
    </w:sdtEndPr>
    <w:sdtContent>
      <w:p w14:paraId="3E939B3B" w14:textId="3E8EB205" w:rsidR="00085192" w:rsidRDefault="00085192" w:rsidP="00D27328">
        <w:pPr>
          <w:pStyle w:val="a4"/>
          <w:framePr w:wrap="none" w:vAnchor="text" w:hAnchor="margin" w:y="1"/>
          <w:rPr>
            <w:rStyle w:val="a6"/>
          </w:rPr>
        </w:pPr>
        <w:r>
          <w:rPr>
            <w:rStyle w:val="a6"/>
          </w:rPr>
          <w:fldChar w:fldCharType="begin"/>
        </w:r>
        <w:r>
          <w:rPr>
            <w:rStyle w:val="a6"/>
          </w:rPr>
          <w:instrText xml:space="preserve"> PAGE </w:instrText>
        </w:r>
        <w:r>
          <w:rPr>
            <w:rStyle w:val="a6"/>
          </w:rPr>
          <w:fldChar w:fldCharType="separate"/>
        </w:r>
        <w:r w:rsidR="007F4925">
          <w:rPr>
            <w:rStyle w:val="a6"/>
            <w:noProof/>
          </w:rPr>
          <w:t>10</w:t>
        </w:r>
        <w:r>
          <w:rPr>
            <w:rStyle w:val="a6"/>
          </w:rPr>
          <w:fldChar w:fldCharType="end"/>
        </w:r>
      </w:p>
    </w:sdtContent>
  </w:sdt>
  <w:p w14:paraId="1264C2D8" w14:textId="77777777" w:rsidR="00085192" w:rsidRDefault="00085192" w:rsidP="00085192">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A85AD" w14:textId="77777777" w:rsidR="00532E8C" w:rsidRDefault="00532E8C" w:rsidP="00085192">
      <w:r>
        <w:separator/>
      </w:r>
    </w:p>
  </w:footnote>
  <w:footnote w:type="continuationSeparator" w:id="0">
    <w:p w14:paraId="03AD5196" w14:textId="77777777" w:rsidR="00532E8C" w:rsidRDefault="00532E8C" w:rsidP="0008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71A3"/>
    <w:multiLevelType w:val="hybridMultilevel"/>
    <w:tmpl w:val="2172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B75A6"/>
    <w:multiLevelType w:val="hybridMultilevel"/>
    <w:tmpl w:val="B672CBA4"/>
    <w:lvl w:ilvl="0" w:tplc="DCBC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F4677"/>
    <w:multiLevelType w:val="hybridMultilevel"/>
    <w:tmpl w:val="4562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139D"/>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C1FB1"/>
    <w:multiLevelType w:val="hybridMultilevel"/>
    <w:tmpl w:val="EDD6BC92"/>
    <w:lvl w:ilvl="0" w:tplc="399A1494">
      <w:start w:val="1"/>
      <w:numFmt w:val="hebrew1"/>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434A4"/>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53E95"/>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8646E"/>
    <w:multiLevelType w:val="hybridMultilevel"/>
    <w:tmpl w:val="1BC00754"/>
    <w:lvl w:ilvl="0" w:tplc="585C4358">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1625F"/>
    <w:multiLevelType w:val="hybridMultilevel"/>
    <w:tmpl w:val="B672CBA4"/>
    <w:lvl w:ilvl="0" w:tplc="DCBC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290195"/>
    <w:multiLevelType w:val="hybridMultilevel"/>
    <w:tmpl w:val="B672CBA4"/>
    <w:lvl w:ilvl="0" w:tplc="DCBC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3F6E12"/>
    <w:multiLevelType w:val="hybridMultilevel"/>
    <w:tmpl w:val="0DCC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91780"/>
    <w:multiLevelType w:val="hybridMultilevel"/>
    <w:tmpl w:val="D8107F7A"/>
    <w:lvl w:ilvl="0" w:tplc="CE6A5D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D3189"/>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62C08"/>
    <w:multiLevelType w:val="hybridMultilevel"/>
    <w:tmpl w:val="399EDA7C"/>
    <w:lvl w:ilvl="0" w:tplc="861C70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9C6705"/>
    <w:multiLevelType w:val="hybridMultilevel"/>
    <w:tmpl w:val="B672CBA4"/>
    <w:lvl w:ilvl="0" w:tplc="DCBC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C98"/>
    <w:multiLevelType w:val="hybridMultilevel"/>
    <w:tmpl w:val="C18823FC"/>
    <w:lvl w:ilvl="0" w:tplc="4D063C3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6F0236"/>
    <w:multiLevelType w:val="hybridMultilevel"/>
    <w:tmpl w:val="B672CBA4"/>
    <w:lvl w:ilvl="0" w:tplc="DCBC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184290"/>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5142F"/>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53987"/>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63654"/>
    <w:multiLevelType w:val="hybridMultilevel"/>
    <w:tmpl w:val="B672CBA4"/>
    <w:lvl w:ilvl="0" w:tplc="DCBCA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DA6F5C"/>
    <w:multiLevelType w:val="hybridMultilevel"/>
    <w:tmpl w:val="49B0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41A18"/>
    <w:multiLevelType w:val="hybridMultilevel"/>
    <w:tmpl w:val="11485B8E"/>
    <w:lvl w:ilvl="0" w:tplc="3A30A4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5A62A8"/>
    <w:multiLevelType w:val="hybridMultilevel"/>
    <w:tmpl w:val="43D0FDC4"/>
    <w:lvl w:ilvl="0" w:tplc="F1C822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2"/>
  </w:num>
  <w:num w:numId="4">
    <w:abstractNumId w:val="4"/>
  </w:num>
  <w:num w:numId="5">
    <w:abstractNumId w:val="7"/>
  </w:num>
  <w:num w:numId="6">
    <w:abstractNumId w:val="13"/>
  </w:num>
  <w:num w:numId="7">
    <w:abstractNumId w:val="5"/>
  </w:num>
  <w:num w:numId="8">
    <w:abstractNumId w:val="12"/>
  </w:num>
  <w:num w:numId="9">
    <w:abstractNumId w:val="17"/>
  </w:num>
  <w:num w:numId="10">
    <w:abstractNumId w:val="3"/>
  </w:num>
  <w:num w:numId="11">
    <w:abstractNumId w:val="18"/>
  </w:num>
  <w:num w:numId="12">
    <w:abstractNumId w:val="23"/>
  </w:num>
  <w:num w:numId="13">
    <w:abstractNumId w:val="6"/>
  </w:num>
  <w:num w:numId="14">
    <w:abstractNumId w:val="16"/>
  </w:num>
  <w:num w:numId="15">
    <w:abstractNumId w:val="8"/>
  </w:num>
  <w:num w:numId="16">
    <w:abstractNumId w:val="14"/>
  </w:num>
  <w:num w:numId="17">
    <w:abstractNumId w:val="1"/>
  </w:num>
  <w:num w:numId="18">
    <w:abstractNumId w:val="9"/>
  </w:num>
  <w:num w:numId="19">
    <w:abstractNumId w:val="20"/>
  </w:num>
  <w:num w:numId="20">
    <w:abstractNumId w:val="11"/>
  </w:num>
  <w:num w:numId="21">
    <w:abstractNumId w:val="10"/>
  </w:num>
  <w:num w:numId="22">
    <w:abstractNumId w:val="15"/>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F"/>
    <w:rsid w:val="000136A2"/>
    <w:rsid w:val="00021393"/>
    <w:rsid w:val="000258DF"/>
    <w:rsid w:val="00026D04"/>
    <w:rsid w:val="000318F3"/>
    <w:rsid w:val="000452A6"/>
    <w:rsid w:val="00064B9F"/>
    <w:rsid w:val="00085192"/>
    <w:rsid w:val="00091579"/>
    <w:rsid w:val="00091795"/>
    <w:rsid w:val="000A3764"/>
    <w:rsid w:val="000A4F26"/>
    <w:rsid w:val="000B387A"/>
    <w:rsid w:val="000C6E72"/>
    <w:rsid w:val="001165E2"/>
    <w:rsid w:val="001177BC"/>
    <w:rsid w:val="00130478"/>
    <w:rsid w:val="00143765"/>
    <w:rsid w:val="00143B0B"/>
    <w:rsid w:val="0018690F"/>
    <w:rsid w:val="00196F3F"/>
    <w:rsid w:val="00204A31"/>
    <w:rsid w:val="00225226"/>
    <w:rsid w:val="002572BB"/>
    <w:rsid w:val="00271D42"/>
    <w:rsid w:val="002A3ACA"/>
    <w:rsid w:val="002C67B5"/>
    <w:rsid w:val="002D4E70"/>
    <w:rsid w:val="002E2B46"/>
    <w:rsid w:val="003232EB"/>
    <w:rsid w:val="00325364"/>
    <w:rsid w:val="0035123F"/>
    <w:rsid w:val="00351350"/>
    <w:rsid w:val="00352172"/>
    <w:rsid w:val="003629FA"/>
    <w:rsid w:val="00363E63"/>
    <w:rsid w:val="00374D30"/>
    <w:rsid w:val="00392F71"/>
    <w:rsid w:val="003A401C"/>
    <w:rsid w:val="003A640D"/>
    <w:rsid w:val="003B5C57"/>
    <w:rsid w:val="003E05DA"/>
    <w:rsid w:val="003E50D9"/>
    <w:rsid w:val="00404079"/>
    <w:rsid w:val="0041254B"/>
    <w:rsid w:val="00414AC8"/>
    <w:rsid w:val="0043309E"/>
    <w:rsid w:val="004342C6"/>
    <w:rsid w:val="004722E8"/>
    <w:rsid w:val="004D6559"/>
    <w:rsid w:val="004D721B"/>
    <w:rsid w:val="004F4FE4"/>
    <w:rsid w:val="00500EA0"/>
    <w:rsid w:val="0053106B"/>
    <w:rsid w:val="00532E8C"/>
    <w:rsid w:val="00533E28"/>
    <w:rsid w:val="00546DAD"/>
    <w:rsid w:val="005565B5"/>
    <w:rsid w:val="00584108"/>
    <w:rsid w:val="00594EB7"/>
    <w:rsid w:val="005A4A2F"/>
    <w:rsid w:val="005B2473"/>
    <w:rsid w:val="005D7E26"/>
    <w:rsid w:val="005E764A"/>
    <w:rsid w:val="00624830"/>
    <w:rsid w:val="00626ABE"/>
    <w:rsid w:val="00660217"/>
    <w:rsid w:val="00670186"/>
    <w:rsid w:val="006825D3"/>
    <w:rsid w:val="0069228B"/>
    <w:rsid w:val="006969A4"/>
    <w:rsid w:val="006B2804"/>
    <w:rsid w:val="006B2ED0"/>
    <w:rsid w:val="006B7ADE"/>
    <w:rsid w:val="006C34ED"/>
    <w:rsid w:val="006D2DB9"/>
    <w:rsid w:val="006F1413"/>
    <w:rsid w:val="00704570"/>
    <w:rsid w:val="007614EE"/>
    <w:rsid w:val="007622B2"/>
    <w:rsid w:val="007759B0"/>
    <w:rsid w:val="0079439A"/>
    <w:rsid w:val="007B58E1"/>
    <w:rsid w:val="007B6177"/>
    <w:rsid w:val="007C0C43"/>
    <w:rsid w:val="007D5EBF"/>
    <w:rsid w:val="007E0EA1"/>
    <w:rsid w:val="007E4E11"/>
    <w:rsid w:val="007E7FC7"/>
    <w:rsid w:val="007F38CD"/>
    <w:rsid w:val="007F4925"/>
    <w:rsid w:val="00823C22"/>
    <w:rsid w:val="00843530"/>
    <w:rsid w:val="00861D4D"/>
    <w:rsid w:val="0087297B"/>
    <w:rsid w:val="0089410D"/>
    <w:rsid w:val="008A10CD"/>
    <w:rsid w:val="008B3802"/>
    <w:rsid w:val="008C26AE"/>
    <w:rsid w:val="008D35E5"/>
    <w:rsid w:val="008F071B"/>
    <w:rsid w:val="008F2B34"/>
    <w:rsid w:val="00913D6B"/>
    <w:rsid w:val="00925922"/>
    <w:rsid w:val="00931E87"/>
    <w:rsid w:val="00934101"/>
    <w:rsid w:val="00947BFE"/>
    <w:rsid w:val="0096735E"/>
    <w:rsid w:val="00983BE2"/>
    <w:rsid w:val="00986721"/>
    <w:rsid w:val="009945C1"/>
    <w:rsid w:val="00995DDF"/>
    <w:rsid w:val="009C5774"/>
    <w:rsid w:val="009C5B13"/>
    <w:rsid w:val="009E23AF"/>
    <w:rsid w:val="009E470A"/>
    <w:rsid w:val="009F1B1F"/>
    <w:rsid w:val="00A27281"/>
    <w:rsid w:val="00A3436A"/>
    <w:rsid w:val="00A35377"/>
    <w:rsid w:val="00A36DD0"/>
    <w:rsid w:val="00A53B8E"/>
    <w:rsid w:val="00A724B3"/>
    <w:rsid w:val="00A742A8"/>
    <w:rsid w:val="00A81D06"/>
    <w:rsid w:val="00A92BFF"/>
    <w:rsid w:val="00AB4616"/>
    <w:rsid w:val="00AD55E1"/>
    <w:rsid w:val="00AE1B8B"/>
    <w:rsid w:val="00B07CE3"/>
    <w:rsid w:val="00B106AC"/>
    <w:rsid w:val="00B34011"/>
    <w:rsid w:val="00B70631"/>
    <w:rsid w:val="00B70F67"/>
    <w:rsid w:val="00B73369"/>
    <w:rsid w:val="00BB1F82"/>
    <w:rsid w:val="00BE0494"/>
    <w:rsid w:val="00C3105F"/>
    <w:rsid w:val="00C61D87"/>
    <w:rsid w:val="00C66C7B"/>
    <w:rsid w:val="00CB1EE3"/>
    <w:rsid w:val="00CC60FA"/>
    <w:rsid w:val="00CE2F25"/>
    <w:rsid w:val="00D02144"/>
    <w:rsid w:val="00D15081"/>
    <w:rsid w:val="00D35F7A"/>
    <w:rsid w:val="00D5583A"/>
    <w:rsid w:val="00D7787F"/>
    <w:rsid w:val="00D82FA9"/>
    <w:rsid w:val="00D947AB"/>
    <w:rsid w:val="00DE7B5F"/>
    <w:rsid w:val="00E14D32"/>
    <w:rsid w:val="00E52199"/>
    <w:rsid w:val="00E74D07"/>
    <w:rsid w:val="00E82186"/>
    <w:rsid w:val="00E84DA7"/>
    <w:rsid w:val="00E91A18"/>
    <w:rsid w:val="00EA690E"/>
    <w:rsid w:val="00EF737A"/>
    <w:rsid w:val="00F050EE"/>
    <w:rsid w:val="00F26615"/>
    <w:rsid w:val="00F27238"/>
    <w:rsid w:val="00F53813"/>
    <w:rsid w:val="00F5560F"/>
    <w:rsid w:val="00F6052E"/>
    <w:rsid w:val="00F61C76"/>
    <w:rsid w:val="00F6325B"/>
    <w:rsid w:val="00F70258"/>
    <w:rsid w:val="00F80A61"/>
    <w:rsid w:val="00F82677"/>
    <w:rsid w:val="00FA51D7"/>
    <w:rsid w:val="00FB19A7"/>
    <w:rsid w:val="00FB28F9"/>
    <w:rsid w:val="00FB376E"/>
    <w:rsid w:val="00FD596E"/>
    <w:rsid w:val="00FE339C"/>
    <w:rsid w:val="00FE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2FA4"/>
  <w15:chartTrackingRefBased/>
  <w15:docId w15:val="{BE7E8973-6EE1-694F-8EBF-D6EA93D9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9A4"/>
    <w:pPr>
      <w:ind w:left="720"/>
      <w:contextualSpacing/>
    </w:pPr>
  </w:style>
  <w:style w:type="paragraph" w:styleId="a4">
    <w:name w:val="footer"/>
    <w:basedOn w:val="a"/>
    <w:link w:val="a5"/>
    <w:uiPriority w:val="99"/>
    <w:unhideWhenUsed/>
    <w:rsid w:val="00085192"/>
    <w:pPr>
      <w:tabs>
        <w:tab w:val="center" w:pos="4680"/>
        <w:tab w:val="right" w:pos="9360"/>
      </w:tabs>
    </w:pPr>
  </w:style>
  <w:style w:type="character" w:customStyle="1" w:styleId="a5">
    <w:name w:val="כותרת תחתונה תו"/>
    <w:basedOn w:val="a0"/>
    <w:link w:val="a4"/>
    <w:uiPriority w:val="99"/>
    <w:rsid w:val="00085192"/>
  </w:style>
  <w:style w:type="character" w:styleId="a6">
    <w:name w:val="page number"/>
    <w:basedOn w:val="a0"/>
    <w:uiPriority w:val="99"/>
    <w:semiHidden/>
    <w:unhideWhenUsed/>
    <w:rsid w:val="00085192"/>
  </w:style>
  <w:style w:type="character" w:customStyle="1" w:styleId="default">
    <w:name w:val="default"/>
    <w:rsid w:val="00934101"/>
    <w:rPr>
      <w:rFonts w:ascii="Times New Roman" w:hAnsi="Times New Roman" w:cs="Times New Roman"/>
      <w:sz w:val="20"/>
      <w:szCs w:val="26"/>
    </w:rPr>
  </w:style>
  <w:style w:type="paragraph" w:styleId="a7">
    <w:name w:val="Balloon Text"/>
    <w:basedOn w:val="a"/>
    <w:link w:val="a8"/>
    <w:uiPriority w:val="99"/>
    <w:semiHidden/>
    <w:unhideWhenUsed/>
    <w:rsid w:val="00E82186"/>
    <w:rPr>
      <w:rFonts w:ascii="Times New Roman" w:hAnsi="Times New Roman" w:cs="Times New Roman"/>
      <w:sz w:val="18"/>
      <w:szCs w:val="18"/>
    </w:rPr>
  </w:style>
  <w:style w:type="character" w:customStyle="1" w:styleId="a8">
    <w:name w:val="טקסט בלונים תו"/>
    <w:basedOn w:val="a0"/>
    <w:link w:val="a7"/>
    <w:uiPriority w:val="99"/>
    <w:semiHidden/>
    <w:rsid w:val="00E82186"/>
    <w:rPr>
      <w:rFonts w:ascii="Times New Roman" w:hAnsi="Times New Roman" w:cs="Times New Roman"/>
      <w:sz w:val="18"/>
      <w:szCs w:val="18"/>
    </w:rPr>
  </w:style>
  <w:style w:type="paragraph" w:customStyle="1" w:styleId="ruller40">
    <w:name w:val="ruller40"/>
    <w:basedOn w:val="a"/>
    <w:rsid w:val="008F071B"/>
    <w:pPr>
      <w:spacing w:before="100" w:beforeAutospacing="1" w:after="100" w:afterAutospacing="1"/>
    </w:pPr>
    <w:rPr>
      <w:rFonts w:ascii="Times New Roman" w:eastAsia="Times New Roman" w:hAnsi="Times New Roman" w:cs="Times New Roman"/>
    </w:rPr>
  </w:style>
  <w:style w:type="character" w:customStyle="1" w:styleId="reference-text">
    <w:name w:val="reference-text"/>
    <w:basedOn w:val="a0"/>
    <w:rsid w:val="0018690F"/>
  </w:style>
  <w:style w:type="character" w:styleId="Hyperlink">
    <w:name w:val="Hyperlink"/>
    <w:basedOn w:val="a0"/>
    <w:uiPriority w:val="99"/>
    <w:semiHidden/>
    <w:unhideWhenUsed/>
    <w:rsid w:val="00186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31075">
      <w:bodyDiv w:val="1"/>
      <w:marLeft w:val="0"/>
      <w:marRight w:val="0"/>
      <w:marTop w:val="0"/>
      <w:marBottom w:val="0"/>
      <w:divBdr>
        <w:top w:val="none" w:sz="0" w:space="0" w:color="auto"/>
        <w:left w:val="none" w:sz="0" w:space="0" w:color="auto"/>
        <w:bottom w:val="none" w:sz="0" w:space="0" w:color="auto"/>
        <w:right w:val="none" w:sz="0" w:space="0" w:color="auto"/>
      </w:divBdr>
    </w:div>
    <w:div w:id="871382787">
      <w:bodyDiv w:val="1"/>
      <w:marLeft w:val="0"/>
      <w:marRight w:val="0"/>
      <w:marTop w:val="0"/>
      <w:marBottom w:val="0"/>
      <w:divBdr>
        <w:top w:val="none" w:sz="0" w:space="0" w:color="auto"/>
        <w:left w:val="none" w:sz="0" w:space="0" w:color="auto"/>
        <w:bottom w:val="none" w:sz="0" w:space="0" w:color="auto"/>
        <w:right w:val="none" w:sz="0" w:space="0" w:color="auto"/>
      </w:divBdr>
    </w:div>
    <w:div w:id="879129458">
      <w:bodyDiv w:val="1"/>
      <w:marLeft w:val="0"/>
      <w:marRight w:val="0"/>
      <w:marTop w:val="0"/>
      <w:marBottom w:val="0"/>
      <w:divBdr>
        <w:top w:val="none" w:sz="0" w:space="0" w:color="auto"/>
        <w:left w:val="none" w:sz="0" w:space="0" w:color="auto"/>
        <w:bottom w:val="none" w:sz="0" w:space="0" w:color="auto"/>
        <w:right w:val="none" w:sz="0" w:space="0" w:color="auto"/>
      </w:divBdr>
    </w:div>
    <w:div w:id="961496479">
      <w:bodyDiv w:val="1"/>
      <w:marLeft w:val="0"/>
      <w:marRight w:val="0"/>
      <w:marTop w:val="0"/>
      <w:marBottom w:val="0"/>
      <w:divBdr>
        <w:top w:val="none" w:sz="0" w:space="0" w:color="auto"/>
        <w:left w:val="none" w:sz="0" w:space="0" w:color="auto"/>
        <w:bottom w:val="none" w:sz="0" w:space="0" w:color="auto"/>
        <w:right w:val="none" w:sz="0" w:space="0" w:color="auto"/>
      </w:divBdr>
    </w:div>
    <w:div w:id="1122577943">
      <w:bodyDiv w:val="1"/>
      <w:marLeft w:val="0"/>
      <w:marRight w:val="0"/>
      <w:marTop w:val="0"/>
      <w:marBottom w:val="0"/>
      <w:divBdr>
        <w:top w:val="none" w:sz="0" w:space="0" w:color="auto"/>
        <w:left w:val="none" w:sz="0" w:space="0" w:color="auto"/>
        <w:bottom w:val="none" w:sz="0" w:space="0" w:color="auto"/>
        <w:right w:val="none" w:sz="0" w:space="0" w:color="auto"/>
      </w:divBdr>
    </w:div>
    <w:div w:id="1160079081">
      <w:bodyDiv w:val="1"/>
      <w:marLeft w:val="0"/>
      <w:marRight w:val="0"/>
      <w:marTop w:val="0"/>
      <w:marBottom w:val="0"/>
      <w:divBdr>
        <w:top w:val="none" w:sz="0" w:space="0" w:color="auto"/>
        <w:left w:val="none" w:sz="0" w:space="0" w:color="auto"/>
        <w:bottom w:val="none" w:sz="0" w:space="0" w:color="auto"/>
        <w:right w:val="none" w:sz="0" w:space="0" w:color="auto"/>
      </w:divBdr>
    </w:div>
    <w:div w:id="1461418940">
      <w:bodyDiv w:val="1"/>
      <w:marLeft w:val="0"/>
      <w:marRight w:val="0"/>
      <w:marTop w:val="0"/>
      <w:marBottom w:val="0"/>
      <w:divBdr>
        <w:top w:val="none" w:sz="0" w:space="0" w:color="auto"/>
        <w:left w:val="none" w:sz="0" w:space="0" w:color="auto"/>
        <w:bottom w:val="none" w:sz="0" w:space="0" w:color="auto"/>
        <w:right w:val="none" w:sz="0" w:space="0" w:color="auto"/>
      </w:divBdr>
      <w:divsChild>
        <w:div w:id="607615112">
          <w:marLeft w:val="0"/>
          <w:marRight w:val="0"/>
          <w:marTop w:val="0"/>
          <w:marBottom w:val="0"/>
          <w:divBdr>
            <w:top w:val="none" w:sz="0" w:space="0" w:color="auto"/>
            <w:left w:val="none" w:sz="0" w:space="0" w:color="auto"/>
            <w:bottom w:val="none" w:sz="0" w:space="0" w:color="auto"/>
            <w:right w:val="none" w:sz="0" w:space="0" w:color="auto"/>
          </w:divBdr>
        </w:div>
        <w:div w:id="41486572">
          <w:marLeft w:val="0"/>
          <w:marRight w:val="0"/>
          <w:marTop w:val="0"/>
          <w:marBottom w:val="0"/>
          <w:divBdr>
            <w:top w:val="none" w:sz="0" w:space="0" w:color="auto"/>
            <w:left w:val="none" w:sz="0" w:space="0" w:color="auto"/>
            <w:bottom w:val="none" w:sz="0" w:space="0" w:color="auto"/>
            <w:right w:val="none" w:sz="0" w:space="0" w:color="auto"/>
          </w:divBdr>
          <w:divsChild>
            <w:div w:id="555354750">
              <w:marLeft w:val="0"/>
              <w:marRight w:val="0"/>
              <w:marTop w:val="0"/>
              <w:marBottom w:val="0"/>
              <w:divBdr>
                <w:top w:val="none" w:sz="0" w:space="0" w:color="auto"/>
                <w:left w:val="none" w:sz="0" w:space="0" w:color="auto"/>
                <w:bottom w:val="none" w:sz="0" w:space="0" w:color="auto"/>
                <w:right w:val="none" w:sz="0" w:space="0" w:color="auto"/>
              </w:divBdr>
            </w:div>
            <w:div w:id="344407588">
              <w:marLeft w:val="0"/>
              <w:marRight w:val="0"/>
              <w:marTop w:val="0"/>
              <w:marBottom w:val="0"/>
              <w:divBdr>
                <w:top w:val="none" w:sz="0" w:space="0" w:color="auto"/>
                <w:left w:val="none" w:sz="0" w:space="0" w:color="auto"/>
                <w:bottom w:val="none" w:sz="0" w:space="0" w:color="auto"/>
                <w:right w:val="none" w:sz="0" w:space="0" w:color="auto"/>
              </w:divBdr>
            </w:div>
            <w:div w:id="1986205044">
              <w:marLeft w:val="0"/>
              <w:marRight w:val="0"/>
              <w:marTop w:val="0"/>
              <w:marBottom w:val="0"/>
              <w:divBdr>
                <w:top w:val="none" w:sz="0" w:space="0" w:color="auto"/>
                <w:left w:val="none" w:sz="0" w:space="0" w:color="auto"/>
                <w:bottom w:val="none" w:sz="0" w:space="0" w:color="auto"/>
                <w:right w:val="none" w:sz="0" w:space="0" w:color="auto"/>
              </w:divBdr>
            </w:div>
            <w:div w:id="397093300">
              <w:marLeft w:val="0"/>
              <w:marRight w:val="0"/>
              <w:marTop w:val="0"/>
              <w:marBottom w:val="0"/>
              <w:divBdr>
                <w:top w:val="none" w:sz="0" w:space="0" w:color="auto"/>
                <w:left w:val="none" w:sz="0" w:space="0" w:color="auto"/>
                <w:bottom w:val="none" w:sz="0" w:space="0" w:color="auto"/>
                <w:right w:val="none" w:sz="0" w:space="0" w:color="auto"/>
              </w:divBdr>
            </w:div>
            <w:div w:id="1648900809">
              <w:marLeft w:val="0"/>
              <w:marRight w:val="0"/>
              <w:marTop w:val="0"/>
              <w:marBottom w:val="0"/>
              <w:divBdr>
                <w:top w:val="none" w:sz="0" w:space="0" w:color="auto"/>
                <w:left w:val="none" w:sz="0" w:space="0" w:color="auto"/>
                <w:bottom w:val="none" w:sz="0" w:space="0" w:color="auto"/>
                <w:right w:val="none" w:sz="0" w:space="0" w:color="auto"/>
              </w:divBdr>
            </w:div>
            <w:div w:id="1507011336">
              <w:marLeft w:val="0"/>
              <w:marRight w:val="0"/>
              <w:marTop w:val="0"/>
              <w:marBottom w:val="0"/>
              <w:divBdr>
                <w:top w:val="none" w:sz="0" w:space="0" w:color="auto"/>
                <w:left w:val="none" w:sz="0" w:space="0" w:color="auto"/>
                <w:bottom w:val="none" w:sz="0" w:space="0" w:color="auto"/>
                <w:right w:val="none" w:sz="0" w:space="0" w:color="auto"/>
              </w:divBdr>
            </w:div>
            <w:div w:id="17371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4302">
      <w:bodyDiv w:val="1"/>
      <w:marLeft w:val="0"/>
      <w:marRight w:val="0"/>
      <w:marTop w:val="0"/>
      <w:marBottom w:val="0"/>
      <w:divBdr>
        <w:top w:val="none" w:sz="0" w:space="0" w:color="auto"/>
        <w:left w:val="none" w:sz="0" w:space="0" w:color="auto"/>
        <w:bottom w:val="none" w:sz="0" w:space="0" w:color="auto"/>
        <w:right w:val="none" w:sz="0" w:space="0" w:color="auto"/>
      </w:divBdr>
    </w:div>
    <w:div w:id="18952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3528</Words>
  <Characters>17645</Characters>
  <Application>Microsoft Office Word</Application>
  <DocSecurity>0</DocSecurity>
  <Lines>147</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Wattad</dc:creator>
  <cp:keywords/>
  <dc:description/>
  <cp:lastModifiedBy>Moaza</cp:lastModifiedBy>
  <cp:revision>2</cp:revision>
  <cp:lastPrinted>2020-12-20T21:37:00Z</cp:lastPrinted>
  <dcterms:created xsi:type="dcterms:W3CDTF">2020-12-29T11:51:00Z</dcterms:created>
  <dcterms:modified xsi:type="dcterms:W3CDTF">2020-12-29T11:51:00Z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-1509464251</vt:i4>
  </property>
  <property fmtid="{D5CDD505-2E9C-101B-9397-08002B2CF9AE}" pid="3" name="_NewReviewCycle">
    <vt:lpwstr/>
  </property>
  <property fmtid="{D5CDD505-2E9C-101B-9397-08002B2CF9AE}" pid="4" name="_EmailSubject">
    <vt:lpwstr>בבקשה - פסק הדין. שאפו.</vt:lpwstr>
  </property>
  <property fmtid="{D5CDD505-2E9C-101B-9397-08002B2CF9AE}" pid="5" name="_AuthorEmail">
    <vt:lpwstr>hilik43@013.net</vt:lpwstr>
  </property>
  <property fmtid="{D5CDD505-2E9C-101B-9397-08002B2CF9AE}" pid="6" name="_AuthorEmailDisplayName">
    <vt:lpwstr>Hilik Limor</vt:lpwstr>
  </property>
  <property fmtid="{D5CDD505-2E9C-101B-9397-08002B2CF9AE}" pid="7" name="_ReviewingToolsShownOnce">
    <vt:lpwstr/>
  </property>
</Properties>
</file>