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9C" w:rsidRDefault="00B4289C">
      <w:pPr>
        <w:pStyle w:val="a3"/>
        <w:tabs>
          <w:tab w:val="clear" w:pos="4153"/>
          <w:tab w:val="clear" w:pos="8306"/>
        </w:tabs>
        <w:rPr>
          <w:rtl/>
        </w:rPr>
      </w:pPr>
    </w:p>
    <w:p w:rsidR="002B51B0" w:rsidRDefault="00B4289C">
      <w:pPr>
        <w:jc w:val="right"/>
        <w:rPr>
          <w:rtl/>
        </w:rPr>
      </w:pPr>
      <w:r>
        <w:rPr>
          <w:rtl/>
        </w:rPr>
        <w:tab/>
      </w:r>
      <w:r>
        <w:rPr>
          <w:rtl/>
        </w:rPr>
        <w:tab/>
      </w:r>
      <w:r>
        <w:rPr>
          <w:rtl/>
        </w:rPr>
        <w:tab/>
      </w:r>
      <w:r>
        <w:rPr>
          <w:rtl/>
        </w:rPr>
        <w:tab/>
      </w:r>
      <w:r>
        <w:rPr>
          <w:rtl/>
        </w:rPr>
        <w:tab/>
        <w:t xml:space="preserve">          ירושלים,</w:t>
      </w:r>
      <w:bookmarkStart w:id="0" w:name="let_date"/>
      <w:r w:rsidR="002B51B0">
        <w:rPr>
          <w:rtl/>
        </w:rPr>
        <w:t>ט''ו בטבת התש''פ</w:t>
      </w:r>
    </w:p>
    <w:p w:rsidR="00B4289C" w:rsidRDefault="002B51B0">
      <w:pPr>
        <w:jc w:val="right"/>
        <w:rPr>
          <w:rtl/>
        </w:rPr>
      </w:pPr>
      <w:r>
        <w:rPr>
          <w:rtl/>
        </w:rPr>
        <w:t>12 ינואר ,2020</w:t>
      </w:r>
      <w:bookmarkEnd w:id="0"/>
      <w:r w:rsidR="00B4289C">
        <w:rPr>
          <w:rtl/>
        </w:rPr>
        <w:t xml:space="preserve"> </w:t>
      </w:r>
    </w:p>
    <w:p w:rsidR="00B4289C" w:rsidRDefault="00B4289C">
      <w:pPr>
        <w:jc w:val="right"/>
        <w:rPr>
          <w:szCs w:val="20"/>
          <w:rtl/>
        </w:rPr>
      </w:pPr>
      <w:r>
        <w:rPr>
          <w:szCs w:val="20"/>
          <w:rtl/>
        </w:rPr>
        <w:t xml:space="preserve">מס' תיק - </w:t>
      </w:r>
      <w:bookmarkStart w:id="1" w:name="tik"/>
      <w:r w:rsidR="002B51B0">
        <w:rPr>
          <w:szCs w:val="20"/>
          <w:rtl/>
        </w:rPr>
        <w:t>147/2019</w:t>
      </w:r>
      <w:bookmarkEnd w:id="1"/>
    </w:p>
    <w:p w:rsidR="00B4289C" w:rsidRDefault="00B4289C">
      <w:pPr>
        <w:rPr>
          <w:rtl/>
        </w:rPr>
      </w:pPr>
    </w:p>
    <w:p w:rsidR="00B4289C" w:rsidRDefault="00B4289C">
      <w:pPr>
        <w:rPr>
          <w:rtl/>
        </w:rPr>
      </w:pPr>
    </w:p>
    <w:p w:rsidR="00B4289C" w:rsidRDefault="00B4289C">
      <w:pPr>
        <w:rPr>
          <w:rtl/>
        </w:rPr>
      </w:pPr>
      <w:r>
        <w:rPr>
          <w:rtl/>
        </w:rPr>
        <w:t>לכבוד</w:t>
      </w:r>
    </w:p>
    <w:p w:rsidR="00B4289C" w:rsidRDefault="002B51B0">
      <w:pPr>
        <w:rPr>
          <w:rtl/>
        </w:rPr>
      </w:pPr>
      <w:bookmarkStart w:id="2" w:name="name"/>
      <w:r>
        <w:rPr>
          <w:rtl/>
        </w:rPr>
        <w:t>עו"ד אלעד מן</w:t>
      </w:r>
      <w:bookmarkEnd w:id="2"/>
    </w:p>
    <w:p w:rsidR="00B4289C" w:rsidRDefault="002B51B0">
      <w:pPr>
        <w:rPr>
          <w:rtl/>
        </w:rPr>
      </w:pPr>
      <w:bookmarkStart w:id="3" w:name="address"/>
      <w:r>
        <w:rPr>
          <w:rtl/>
        </w:rPr>
        <w:t>דרך מנחם בגין 7</w:t>
      </w:r>
      <w:bookmarkEnd w:id="3"/>
      <w:r w:rsidR="00B4289C">
        <w:rPr>
          <w:rtl/>
        </w:rPr>
        <w:t xml:space="preserve"> </w:t>
      </w:r>
    </w:p>
    <w:p w:rsidR="00B4289C" w:rsidRDefault="002B51B0">
      <w:pPr>
        <w:rPr>
          <w:rtl/>
        </w:rPr>
      </w:pPr>
      <w:bookmarkStart w:id="4" w:name="city"/>
      <w:r>
        <w:rPr>
          <w:u w:val="single"/>
          <w:rtl/>
        </w:rPr>
        <w:t xml:space="preserve"> רמת גן </w:t>
      </w:r>
      <w:bookmarkEnd w:id="4"/>
      <w:r w:rsidR="00B4289C">
        <w:rPr>
          <w:rtl/>
        </w:rPr>
        <w:t xml:space="preserve">  </w:t>
      </w:r>
    </w:p>
    <w:p w:rsidR="00B4289C" w:rsidRDefault="00B4289C">
      <w:pPr>
        <w:rPr>
          <w:rtl/>
        </w:rPr>
      </w:pPr>
    </w:p>
    <w:p w:rsidR="00B4289C" w:rsidRDefault="00ED083D">
      <w:pPr>
        <w:rPr>
          <w:rtl/>
        </w:rPr>
      </w:pPr>
      <w:r>
        <w:rPr>
          <w:rFonts w:hint="cs"/>
          <w:rtl/>
        </w:rPr>
        <w:t>שלום רב,</w:t>
      </w:r>
    </w:p>
    <w:p w:rsidR="00B4289C" w:rsidRDefault="00B4289C">
      <w:pPr>
        <w:rPr>
          <w:rtl/>
        </w:rPr>
      </w:pPr>
    </w:p>
    <w:p w:rsidR="00B4289C" w:rsidRDefault="00B4289C">
      <w:pPr>
        <w:rPr>
          <w:rtl/>
        </w:rPr>
      </w:pPr>
      <w:r>
        <w:rPr>
          <w:rtl/>
        </w:rPr>
        <w:t xml:space="preserve">הנדון:  </w:t>
      </w:r>
      <w:r>
        <w:rPr>
          <w:b/>
          <w:bCs/>
          <w:u w:val="single"/>
          <w:rtl/>
        </w:rPr>
        <w:t xml:space="preserve"> </w:t>
      </w:r>
      <w:bookmarkStart w:id="5" w:name="nadon"/>
      <w:r w:rsidR="002B51B0">
        <w:rPr>
          <w:b/>
          <w:bCs/>
          <w:u w:val="single"/>
          <w:rtl/>
        </w:rPr>
        <w:t>אמות מידה, נהלים והוראות לעניין פרטיות</w:t>
      </w:r>
      <w:bookmarkEnd w:id="5"/>
    </w:p>
    <w:p w:rsidR="00B4289C" w:rsidRDefault="00B4289C">
      <w:pPr>
        <w:rPr>
          <w:rtl/>
        </w:rPr>
      </w:pPr>
    </w:p>
    <w:p w:rsidR="00416C7B" w:rsidRPr="00416C7B" w:rsidRDefault="00416C7B" w:rsidP="00416C7B">
      <w:pPr>
        <w:overflowPunct/>
        <w:autoSpaceDE/>
        <w:autoSpaceDN/>
        <w:adjustRightInd/>
        <w:spacing w:beforeLines="25" w:before="60" w:afterLines="25" w:after="60"/>
        <w:ind w:left="609" w:hanging="623"/>
        <w:textAlignment w:val="auto"/>
        <w:rPr>
          <w:rFonts w:eastAsia="Calibri"/>
          <w:sz w:val="26"/>
          <w:szCs w:val="26"/>
          <w:rtl/>
          <w:lang w:eastAsia="en-US"/>
        </w:rPr>
      </w:pPr>
      <w:r w:rsidRPr="00416C7B">
        <w:rPr>
          <w:rFonts w:eastAsia="Calibri" w:hint="cs"/>
          <w:sz w:val="26"/>
          <w:szCs w:val="26"/>
          <w:rtl/>
          <w:lang w:eastAsia="en-US"/>
        </w:rPr>
        <w:t>שלום רב,</w:t>
      </w:r>
    </w:p>
    <w:p w:rsidR="00416C7B" w:rsidRPr="00416C7B" w:rsidRDefault="00416C7B" w:rsidP="00416C7B">
      <w:pPr>
        <w:numPr>
          <w:ilvl w:val="0"/>
          <w:numId w:val="1"/>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לבקשתך, מצורפים </w:t>
      </w:r>
      <w:r w:rsidRPr="00416C7B">
        <w:rPr>
          <w:rFonts w:eastAsia="Calibri"/>
          <w:sz w:val="26"/>
          <w:rtl/>
          <w:lang w:eastAsia="en-US"/>
        </w:rPr>
        <w:t xml:space="preserve">הנהלים, ההנחיות ואמות המידה של </w:t>
      </w:r>
      <w:r w:rsidRPr="00416C7B">
        <w:rPr>
          <w:rFonts w:eastAsia="Calibri" w:hint="cs"/>
          <w:sz w:val="26"/>
          <w:rtl/>
          <w:lang w:eastAsia="en-US"/>
        </w:rPr>
        <w:t>משרד האוצר</w:t>
      </w:r>
      <w:r w:rsidRPr="00416C7B">
        <w:rPr>
          <w:rFonts w:eastAsia="Calibri"/>
          <w:sz w:val="26"/>
          <w:rtl/>
          <w:lang w:eastAsia="en-US"/>
        </w:rPr>
        <w:t xml:space="preserve"> בעניין מדיניות הפרטיות שלה בכל הנוגע לשמירה, טיפול, אחסון, הפצה, הנגשה, העברה וכו' של מידע ונתונים</w:t>
      </w:r>
      <w:r w:rsidRPr="00416C7B">
        <w:rPr>
          <w:rFonts w:eastAsia="Calibri" w:hint="cs"/>
          <w:sz w:val="26"/>
          <w:rtl/>
          <w:lang w:eastAsia="en-US"/>
        </w:rPr>
        <w:t>, הבאים:</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נוהל הוועדה להעברת מידע של משרד האוצר. </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נוהל ניהול משאבי הגנת המידע והסייבר.</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נוהל ניהול סיכונים.</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sz w:val="26"/>
          <w:rtl/>
          <w:lang w:eastAsia="en-US"/>
        </w:rPr>
        <w:t>נוהל פעולה מתקנת והזדמנויות לשיפור</w:t>
      </w:r>
      <w:r w:rsidRPr="00416C7B">
        <w:rPr>
          <w:rFonts w:eastAsia="Calibri" w:hint="cs"/>
          <w:sz w:val="26"/>
          <w:rtl/>
          <w:lang w:eastAsia="en-US"/>
        </w:rPr>
        <w:t>.</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נוהל טיפול במידע ובמצעי מידע.</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נוהל סיווג המידע.</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נוהל החלפת תפקיד.</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פורמט הנחיות למנהל מאגר מידע במשרד האוצר. </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פורמט </w:t>
      </w:r>
      <w:r w:rsidRPr="00416C7B">
        <w:rPr>
          <w:rFonts w:eastAsia="Calibri"/>
          <w:sz w:val="26"/>
          <w:rtl/>
          <w:lang w:eastAsia="en-US"/>
        </w:rPr>
        <w:t>הנחיות לנאמן אבטחת מידע במאגר מידע</w:t>
      </w:r>
      <w:r w:rsidRPr="00416C7B">
        <w:rPr>
          <w:rFonts w:eastAsia="Calibri" w:hint="cs"/>
          <w:sz w:val="26"/>
          <w:rtl/>
          <w:lang w:eastAsia="en-US"/>
        </w:rPr>
        <w:t>.</w:t>
      </w:r>
    </w:p>
    <w:p w:rsidR="00416C7B" w:rsidRPr="00416C7B" w:rsidRDefault="00416C7B" w:rsidP="00416C7B">
      <w:pPr>
        <w:numPr>
          <w:ilvl w:val="0"/>
          <w:numId w:val="2"/>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תעודה מטעם מכון התקנים הישראלי לפיה המשרד עומד בתקן </w:t>
      </w:r>
      <w:r w:rsidRPr="00416C7B">
        <w:rPr>
          <w:rFonts w:eastAsia="Calibri" w:hint="cs"/>
          <w:sz w:val="26"/>
          <w:lang w:eastAsia="en-US"/>
        </w:rPr>
        <w:t>ISO 27001</w:t>
      </w:r>
      <w:r w:rsidRPr="00416C7B">
        <w:rPr>
          <w:rFonts w:eastAsia="Calibri" w:hint="cs"/>
          <w:sz w:val="26"/>
          <w:rtl/>
          <w:lang w:eastAsia="en-US"/>
        </w:rPr>
        <w:t>.</w:t>
      </w:r>
    </w:p>
    <w:p w:rsidR="00416C7B" w:rsidRDefault="00416C7B" w:rsidP="00416C7B">
      <w:pPr>
        <w:numPr>
          <w:ilvl w:val="0"/>
          <w:numId w:val="1"/>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sz w:val="26"/>
          <w:rtl/>
          <w:lang w:eastAsia="en-US"/>
        </w:rPr>
        <w:t xml:space="preserve">בנוסף לנהלים המצורפים והמפורטים כאמור לעיל, קיימים במשרד האוצר נהלים נוספים אשר </w:t>
      </w:r>
      <w:r w:rsidRPr="00416C7B">
        <w:rPr>
          <w:rFonts w:eastAsia="Calibri"/>
          <w:sz w:val="26"/>
          <w:rtl/>
          <w:lang w:eastAsia="en-US"/>
        </w:rPr>
        <w:t xml:space="preserve">חשיפתם עלולה להעמיד את משרד האוצר בסיכון ממשי לפגיעה במאגרי המידע שלו, זאת משום שמנהלים </w:t>
      </w:r>
      <w:r w:rsidRPr="00416C7B">
        <w:rPr>
          <w:rFonts w:eastAsia="Calibri" w:hint="cs"/>
          <w:sz w:val="26"/>
          <w:rtl/>
          <w:lang w:eastAsia="en-US"/>
        </w:rPr>
        <w:t>אלה</w:t>
      </w:r>
      <w:r w:rsidRPr="00416C7B">
        <w:rPr>
          <w:rFonts w:eastAsia="Calibri"/>
          <w:sz w:val="26"/>
          <w:rtl/>
          <w:lang w:eastAsia="en-US"/>
        </w:rPr>
        <w:t xml:space="preserve"> ניתן ללמוד על אמצעי אבטחת המידע הקיימים במשרד, אבטחת פיזית וסביבתית של המאגרים, הוראות לעניין גיבוי נתונים ועוד. כיוון שחשיפת נהלי אבטחת המידע אלה עלולה בוודאות קרובה לשבש את יכולתו של המשרד לנהל ולהחזיק את מאגרי המידע בתנאים הנדרשים, ובהתאם להוראת סעיף 9(ב)(1) לחוק חופש המידע, </w:t>
      </w:r>
      <w:r w:rsidRPr="00416C7B">
        <w:rPr>
          <w:rFonts w:eastAsia="Calibri" w:hint="cs"/>
          <w:sz w:val="26"/>
          <w:rtl/>
          <w:lang w:eastAsia="en-US"/>
        </w:rPr>
        <w:t>יצוינו</w:t>
      </w:r>
      <w:r w:rsidRPr="00416C7B">
        <w:rPr>
          <w:rFonts w:eastAsia="Calibri"/>
          <w:sz w:val="26"/>
          <w:rtl/>
          <w:lang w:eastAsia="en-US"/>
        </w:rPr>
        <w:t xml:space="preserve"> שמות </w:t>
      </w:r>
      <w:r w:rsidRPr="00416C7B">
        <w:rPr>
          <w:rFonts w:eastAsia="Calibri" w:hint="cs"/>
          <w:sz w:val="26"/>
          <w:rtl/>
          <w:lang w:eastAsia="en-US"/>
        </w:rPr>
        <w:t>נ</w:t>
      </w:r>
      <w:r w:rsidRPr="00416C7B">
        <w:rPr>
          <w:rFonts w:eastAsia="Calibri"/>
          <w:sz w:val="26"/>
          <w:rtl/>
          <w:lang w:eastAsia="en-US"/>
        </w:rPr>
        <w:t>הלים</w:t>
      </w:r>
      <w:r w:rsidRPr="00416C7B">
        <w:rPr>
          <w:rFonts w:eastAsia="Calibri" w:hint="cs"/>
          <w:sz w:val="26"/>
          <w:rtl/>
          <w:lang w:eastAsia="en-US"/>
        </w:rPr>
        <w:t xml:space="preserve"> אלה</w:t>
      </w:r>
      <w:r w:rsidRPr="00416C7B">
        <w:rPr>
          <w:rFonts w:eastAsia="Calibri"/>
          <w:sz w:val="26"/>
          <w:rtl/>
          <w:lang w:eastAsia="en-US"/>
        </w:rPr>
        <w:t xml:space="preserve"> ופירוט סוג ההוראות הקבועות בהם בלבד</w:t>
      </w:r>
      <w:r w:rsidRPr="00416C7B">
        <w:rPr>
          <w:rFonts w:eastAsia="Calibri" w:hint="cs"/>
          <w:sz w:val="26"/>
          <w:rtl/>
          <w:lang w:eastAsia="en-US"/>
        </w:rPr>
        <w:t>, כדלהלן:</w:t>
      </w:r>
    </w:p>
    <w:p w:rsidR="00A44AB1" w:rsidRPr="00416C7B" w:rsidRDefault="00A44AB1" w:rsidP="00A44AB1">
      <w:pPr>
        <w:overflowPunct/>
        <w:autoSpaceDE/>
        <w:autoSpaceDN/>
        <w:adjustRightInd/>
        <w:spacing w:beforeLines="25" w:before="60" w:afterLines="25" w:after="60"/>
        <w:contextualSpacing/>
        <w:jc w:val="both"/>
        <w:textAlignment w:val="auto"/>
        <w:rPr>
          <w:rFonts w:eastAsia="Calibri"/>
          <w:sz w:val="26"/>
          <w:lang w:eastAsia="en-US"/>
        </w:rPr>
      </w:pPr>
    </w:p>
    <w:p w:rsidR="00416C7B" w:rsidRPr="00416C7B" w:rsidRDefault="00416C7B" w:rsidP="00416C7B">
      <w:pPr>
        <w:numPr>
          <w:ilvl w:val="0"/>
          <w:numId w:val="3"/>
        </w:numPr>
        <w:overflowPunct/>
        <w:autoSpaceDE/>
        <w:autoSpaceDN/>
        <w:adjustRightInd/>
        <w:spacing w:beforeLines="25" w:before="60" w:afterLines="25" w:after="60"/>
        <w:contextualSpacing/>
        <w:jc w:val="both"/>
        <w:textAlignment w:val="auto"/>
        <w:rPr>
          <w:rFonts w:eastAsia="Calibri"/>
          <w:sz w:val="26"/>
          <w:rtl/>
          <w:lang w:eastAsia="en-US"/>
        </w:rPr>
      </w:pPr>
      <w:r w:rsidRPr="00416C7B">
        <w:rPr>
          <w:rFonts w:eastAsia="Calibri" w:hint="cs"/>
          <w:b/>
          <w:bCs/>
          <w:sz w:val="26"/>
          <w:rtl/>
          <w:lang w:eastAsia="en-US"/>
        </w:rPr>
        <w:t>נוהל מבדקים פנימיים</w:t>
      </w:r>
      <w:r w:rsidRPr="00416C7B">
        <w:rPr>
          <w:rFonts w:eastAsia="Calibri" w:hint="cs"/>
          <w:sz w:val="26"/>
          <w:rtl/>
          <w:lang w:eastAsia="en-US"/>
        </w:rPr>
        <w:t xml:space="preserve"> </w:t>
      </w:r>
      <w:r w:rsidRPr="00416C7B">
        <w:rPr>
          <w:rFonts w:eastAsia="Calibri"/>
          <w:sz w:val="26"/>
          <w:rtl/>
          <w:lang w:eastAsia="en-US"/>
        </w:rPr>
        <w:t>–</w:t>
      </w:r>
      <w:r w:rsidRPr="00416C7B">
        <w:rPr>
          <w:rFonts w:eastAsia="Calibri" w:hint="cs"/>
          <w:sz w:val="26"/>
          <w:rtl/>
          <w:lang w:eastAsia="en-US"/>
        </w:rPr>
        <w:t xml:space="preserve"> נוהל ל</w:t>
      </w:r>
      <w:r w:rsidRPr="00416C7B">
        <w:rPr>
          <w:rFonts w:eastAsia="Calibri"/>
          <w:sz w:val="26"/>
          <w:rtl/>
          <w:lang w:eastAsia="en-US"/>
        </w:rPr>
        <w:t xml:space="preserve">בדיקת יישום ואכיפת מדיניות </w:t>
      </w:r>
      <w:r w:rsidRPr="00416C7B">
        <w:rPr>
          <w:rFonts w:eastAsia="Calibri" w:hint="cs"/>
          <w:sz w:val="26"/>
          <w:rtl/>
          <w:lang w:eastAsia="en-US"/>
        </w:rPr>
        <w:t>ו</w:t>
      </w:r>
      <w:r w:rsidRPr="00416C7B">
        <w:rPr>
          <w:rFonts w:eastAsia="Calibri"/>
          <w:sz w:val="26"/>
          <w:rtl/>
          <w:lang w:eastAsia="en-US"/>
        </w:rPr>
        <w:t>בחינת התאמת המערכת והתשתית הטכנית, למדיניות ולנהלי הגנת המידע והסייבר של משרד האוצר.</w:t>
      </w:r>
    </w:p>
    <w:p w:rsidR="00416C7B" w:rsidRPr="00416C7B" w:rsidRDefault="00416C7B" w:rsidP="00416C7B">
      <w:pPr>
        <w:numPr>
          <w:ilvl w:val="0"/>
          <w:numId w:val="3"/>
        </w:numPr>
        <w:overflowPunct/>
        <w:autoSpaceDE/>
        <w:autoSpaceDN/>
        <w:adjustRightInd/>
        <w:spacing w:beforeLines="25" w:before="60" w:afterLines="25" w:after="60"/>
        <w:contextualSpacing/>
        <w:jc w:val="both"/>
        <w:textAlignment w:val="auto"/>
        <w:rPr>
          <w:rFonts w:eastAsia="Calibri"/>
          <w:sz w:val="26"/>
          <w:rtl/>
          <w:lang w:eastAsia="en-US"/>
        </w:rPr>
      </w:pPr>
      <w:r w:rsidRPr="00416C7B">
        <w:rPr>
          <w:rFonts w:eastAsia="Calibri" w:hint="cs"/>
          <w:b/>
          <w:bCs/>
          <w:sz w:val="26"/>
          <w:rtl/>
          <w:lang w:eastAsia="en-US"/>
        </w:rPr>
        <w:t>נוהל מדיניות הגנת המידע</w:t>
      </w:r>
      <w:r w:rsidRPr="00416C7B">
        <w:rPr>
          <w:rFonts w:eastAsia="Calibri" w:hint="cs"/>
          <w:sz w:val="26"/>
          <w:rtl/>
          <w:lang w:eastAsia="en-US"/>
        </w:rPr>
        <w:t xml:space="preserve"> </w:t>
      </w:r>
      <w:r w:rsidRPr="00416C7B">
        <w:rPr>
          <w:rFonts w:eastAsia="Calibri"/>
          <w:sz w:val="26"/>
          <w:rtl/>
          <w:lang w:eastAsia="en-US"/>
        </w:rPr>
        <w:t>–</w:t>
      </w:r>
      <w:r w:rsidRPr="00416C7B">
        <w:rPr>
          <w:rFonts w:eastAsia="Calibri" w:hint="cs"/>
          <w:sz w:val="26"/>
          <w:rtl/>
          <w:lang w:eastAsia="en-US"/>
        </w:rPr>
        <w:t xml:space="preserve"> </w:t>
      </w:r>
      <w:r w:rsidRPr="00416C7B">
        <w:rPr>
          <w:rFonts w:eastAsia="Calibri"/>
          <w:sz w:val="26"/>
          <w:rtl/>
          <w:lang w:eastAsia="en-US"/>
        </w:rPr>
        <w:t xml:space="preserve">מבוסס על </w:t>
      </w:r>
      <w:r w:rsidRPr="00416C7B">
        <w:rPr>
          <w:rFonts w:eastAsia="Calibri" w:hint="cs"/>
          <w:sz w:val="26"/>
          <w:rtl/>
          <w:lang w:eastAsia="en-US"/>
        </w:rPr>
        <w:t>מדיניות אבטחת המידע המאושרת של המשרד (המדיניות מתווה את העקרונות המנחים וה</w:t>
      </w:r>
      <w:r w:rsidRPr="00416C7B">
        <w:rPr>
          <w:rFonts w:eastAsia="Calibri"/>
          <w:sz w:val="26"/>
          <w:rtl/>
          <w:lang w:eastAsia="en-US"/>
        </w:rPr>
        <w:t>מהווים בסיס לנהלי העבודה בתחומי הגנת המידע והסייבר השונים במשרד</w:t>
      </w:r>
      <w:r w:rsidRPr="00416C7B">
        <w:rPr>
          <w:rFonts w:eastAsia="Calibri" w:hint="cs"/>
          <w:sz w:val="26"/>
          <w:rtl/>
          <w:lang w:eastAsia="en-US"/>
        </w:rPr>
        <w:t>) הנוהל נותן מענה אפקטיבי לסיכומי אבטחת המידע כפי שהוצפו בסקר סיכונים שבוצע במשרד על ידי מבקר חיצוני.</w:t>
      </w:r>
      <w:r w:rsidRPr="00416C7B">
        <w:rPr>
          <w:rFonts w:eastAsia="Calibri"/>
          <w:sz w:val="26"/>
          <w:rtl/>
          <w:lang w:eastAsia="en-US"/>
        </w:rPr>
        <w:t xml:space="preserve"> </w:t>
      </w:r>
    </w:p>
    <w:p w:rsidR="00416C7B" w:rsidRPr="00416C7B" w:rsidRDefault="00416C7B" w:rsidP="00416C7B">
      <w:pPr>
        <w:numPr>
          <w:ilvl w:val="0"/>
          <w:numId w:val="3"/>
        </w:numPr>
        <w:overflowPunct/>
        <w:autoSpaceDE/>
        <w:autoSpaceDN/>
        <w:adjustRightInd/>
        <w:spacing w:before="120" w:after="120"/>
        <w:contextualSpacing/>
        <w:jc w:val="both"/>
        <w:textAlignment w:val="auto"/>
        <w:rPr>
          <w:rFonts w:eastAsia="Calibri"/>
          <w:sz w:val="26"/>
          <w:rtl/>
          <w:lang w:eastAsia="en-US"/>
        </w:rPr>
      </w:pPr>
      <w:r w:rsidRPr="00416C7B">
        <w:rPr>
          <w:rFonts w:eastAsia="Calibri" w:hint="cs"/>
          <w:b/>
          <w:bCs/>
          <w:sz w:val="26"/>
          <w:rtl/>
          <w:lang w:eastAsia="en-US"/>
        </w:rPr>
        <w:t>אבטחת חדר המחשב</w:t>
      </w:r>
      <w:r w:rsidRPr="00416C7B">
        <w:rPr>
          <w:rFonts w:eastAsia="Calibri" w:hint="cs"/>
          <w:sz w:val="26"/>
          <w:rtl/>
          <w:lang w:eastAsia="en-US"/>
        </w:rPr>
        <w:t xml:space="preserve"> </w:t>
      </w:r>
      <w:r w:rsidRPr="00416C7B">
        <w:rPr>
          <w:rFonts w:eastAsia="Calibri"/>
          <w:sz w:val="26"/>
          <w:rtl/>
          <w:lang w:eastAsia="en-US"/>
        </w:rPr>
        <w:t>–</w:t>
      </w:r>
      <w:r w:rsidRPr="00416C7B">
        <w:rPr>
          <w:rFonts w:eastAsia="Calibri" w:hint="cs"/>
          <w:sz w:val="26"/>
          <w:rtl/>
          <w:lang w:eastAsia="en-US"/>
        </w:rPr>
        <w:t xml:space="preserve"> </w:t>
      </w:r>
      <w:r w:rsidRPr="00416C7B">
        <w:rPr>
          <w:rFonts w:eastAsia="Calibri"/>
          <w:sz w:val="26"/>
          <w:rtl/>
          <w:lang w:eastAsia="en-US"/>
        </w:rPr>
        <w:t>הגדרת שיטות מידור ואבטחה פיזית של יחידת המחשב המרכזי והפונקציות התפעוליות הקשורות אליה.</w:t>
      </w:r>
    </w:p>
    <w:p w:rsidR="00416C7B" w:rsidRPr="00416C7B" w:rsidRDefault="00416C7B" w:rsidP="00416C7B">
      <w:pPr>
        <w:numPr>
          <w:ilvl w:val="0"/>
          <w:numId w:val="3"/>
        </w:numPr>
        <w:overflowPunct/>
        <w:autoSpaceDE/>
        <w:autoSpaceDN/>
        <w:adjustRightInd/>
        <w:spacing w:beforeLines="25" w:before="60" w:afterLines="25" w:after="60"/>
        <w:contextualSpacing/>
        <w:jc w:val="both"/>
        <w:textAlignment w:val="auto"/>
        <w:rPr>
          <w:rFonts w:eastAsia="Calibri"/>
          <w:sz w:val="26"/>
          <w:rtl/>
          <w:lang w:eastAsia="en-US"/>
        </w:rPr>
      </w:pPr>
      <w:r w:rsidRPr="00416C7B">
        <w:rPr>
          <w:rFonts w:eastAsia="Calibri" w:hint="cs"/>
          <w:b/>
          <w:bCs/>
          <w:sz w:val="26"/>
          <w:rtl/>
          <w:lang w:eastAsia="en-US"/>
        </w:rPr>
        <w:t>הגנה על המידע בתחנות קצה</w:t>
      </w:r>
      <w:r w:rsidRPr="00416C7B">
        <w:rPr>
          <w:rFonts w:eastAsia="Calibri" w:hint="cs"/>
          <w:sz w:val="26"/>
          <w:rtl/>
          <w:lang w:eastAsia="en-US"/>
        </w:rPr>
        <w:t xml:space="preserve"> </w:t>
      </w:r>
      <w:r w:rsidRPr="00416C7B">
        <w:rPr>
          <w:rFonts w:eastAsia="Calibri"/>
          <w:sz w:val="26"/>
          <w:rtl/>
          <w:lang w:eastAsia="en-US"/>
        </w:rPr>
        <w:t>–</w:t>
      </w:r>
      <w:r w:rsidRPr="00416C7B">
        <w:rPr>
          <w:rFonts w:eastAsia="Calibri" w:hint="cs"/>
          <w:sz w:val="26"/>
          <w:rtl/>
          <w:lang w:eastAsia="en-US"/>
        </w:rPr>
        <w:t xml:space="preserve"> מטרת הנוהל היא </w:t>
      </w:r>
      <w:r w:rsidRPr="00416C7B">
        <w:rPr>
          <w:rFonts w:eastAsia="Calibri"/>
          <w:sz w:val="26"/>
          <w:rtl/>
          <w:lang w:eastAsia="en-US"/>
        </w:rPr>
        <w:t>להגדיר את הנחיות הגנת המידע והסייבר הקשורות לעמדת קצה בהיבטי אבטחה לוגית ואבטחה פיזית</w:t>
      </w:r>
      <w:r w:rsidRPr="00416C7B">
        <w:rPr>
          <w:rFonts w:eastAsia="Calibri" w:hint="cs"/>
          <w:sz w:val="26"/>
          <w:rtl/>
          <w:lang w:eastAsia="en-US"/>
        </w:rPr>
        <w:t xml:space="preserve"> וכן </w:t>
      </w:r>
      <w:r w:rsidRPr="00416C7B">
        <w:rPr>
          <w:rFonts w:eastAsia="Calibri"/>
          <w:sz w:val="26"/>
          <w:rtl/>
          <w:lang w:eastAsia="en-US"/>
        </w:rPr>
        <w:t>שיטות ואמצעי אבטחה למשתמשי עמדת הקצה, למניעת דליפת מידע ממשלתי רגיש</w:t>
      </w:r>
      <w:r w:rsidRPr="00416C7B">
        <w:rPr>
          <w:rFonts w:eastAsia="Calibri" w:hint="cs"/>
          <w:sz w:val="26"/>
          <w:rtl/>
          <w:lang w:eastAsia="en-US"/>
        </w:rPr>
        <w:t xml:space="preserve"> </w:t>
      </w:r>
      <w:r w:rsidRPr="00416C7B">
        <w:rPr>
          <w:rFonts w:eastAsia="Calibri"/>
          <w:sz w:val="26"/>
          <w:rtl/>
          <w:lang w:eastAsia="en-US"/>
        </w:rPr>
        <w:t>וכן למניעת האפשרות של חדירת גורמים לא מורשים לרשת המשרד.</w:t>
      </w:r>
    </w:p>
    <w:p w:rsidR="00416C7B" w:rsidRPr="00416C7B" w:rsidRDefault="00416C7B" w:rsidP="00416C7B">
      <w:pPr>
        <w:numPr>
          <w:ilvl w:val="0"/>
          <w:numId w:val="3"/>
        </w:numPr>
        <w:overflowPunct/>
        <w:autoSpaceDE/>
        <w:autoSpaceDN/>
        <w:adjustRightInd/>
        <w:spacing w:beforeLines="25" w:before="60" w:afterLines="25" w:after="60"/>
        <w:contextualSpacing/>
        <w:jc w:val="both"/>
        <w:textAlignment w:val="auto"/>
        <w:rPr>
          <w:rFonts w:eastAsia="Calibri"/>
          <w:sz w:val="26"/>
          <w:rtl/>
          <w:lang w:eastAsia="en-US"/>
        </w:rPr>
      </w:pPr>
      <w:r w:rsidRPr="00416C7B">
        <w:rPr>
          <w:rFonts w:eastAsia="Calibri" w:hint="cs"/>
          <w:b/>
          <w:bCs/>
          <w:sz w:val="26"/>
          <w:rtl/>
          <w:lang w:eastAsia="en-US"/>
        </w:rPr>
        <w:t>נוהל הפרדת סביבות עבודה</w:t>
      </w:r>
      <w:r w:rsidRPr="00416C7B">
        <w:rPr>
          <w:rFonts w:eastAsia="Calibri" w:hint="cs"/>
          <w:sz w:val="26"/>
          <w:rtl/>
          <w:lang w:eastAsia="en-US"/>
        </w:rPr>
        <w:t xml:space="preserve"> </w:t>
      </w:r>
      <w:r w:rsidRPr="00416C7B">
        <w:rPr>
          <w:rFonts w:eastAsia="Calibri"/>
          <w:sz w:val="26"/>
          <w:rtl/>
          <w:lang w:eastAsia="en-US"/>
        </w:rPr>
        <w:t>–</w:t>
      </w:r>
      <w:r w:rsidRPr="00416C7B">
        <w:rPr>
          <w:rFonts w:eastAsia="Calibri" w:hint="cs"/>
          <w:sz w:val="26"/>
          <w:rtl/>
          <w:lang w:eastAsia="en-US"/>
        </w:rPr>
        <w:t xml:space="preserve"> מטרת הנוהל היא לייצר הפרדה בין סביבת הייצור לסביבת הפיתוח וסביבת הבדיקות, תוך </w:t>
      </w:r>
      <w:r w:rsidRPr="00416C7B">
        <w:rPr>
          <w:rFonts w:eastAsia="Calibri"/>
          <w:sz w:val="26"/>
          <w:rtl/>
          <w:lang w:eastAsia="en-US"/>
        </w:rPr>
        <w:t>צמצום נזקים פוטנציאליים</w:t>
      </w:r>
      <w:r w:rsidRPr="00416C7B">
        <w:rPr>
          <w:rFonts w:eastAsia="Calibri" w:hint="cs"/>
          <w:sz w:val="26"/>
          <w:rtl/>
          <w:lang w:eastAsia="en-US"/>
        </w:rPr>
        <w:t xml:space="preserve"> </w:t>
      </w:r>
      <w:r w:rsidRPr="00416C7B">
        <w:rPr>
          <w:rFonts w:eastAsia="Calibri"/>
          <w:sz w:val="26"/>
          <w:rtl/>
          <w:lang w:eastAsia="en-US"/>
        </w:rPr>
        <w:t xml:space="preserve">העלולים לנבוע </w:t>
      </w:r>
      <w:r w:rsidRPr="00416C7B">
        <w:rPr>
          <w:rFonts w:eastAsia="Calibri" w:hint="cs"/>
          <w:sz w:val="26"/>
          <w:rtl/>
          <w:lang w:eastAsia="en-US"/>
        </w:rPr>
        <w:t xml:space="preserve"> מעבודה בסביבה אחודה וחשיפת מידע לאינם מורשים. </w:t>
      </w:r>
    </w:p>
    <w:p w:rsidR="00416C7B" w:rsidRPr="00416C7B" w:rsidRDefault="00416C7B" w:rsidP="00416C7B">
      <w:pPr>
        <w:numPr>
          <w:ilvl w:val="0"/>
          <w:numId w:val="3"/>
        </w:numPr>
        <w:overflowPunct/>
        <w:autoSpaceDE/>
        <w:autoSpaceDN/>
        <w:adjustRightInd/>
        <w:spacing w:before="120" w:after="120"/>
        <w:contextualSpacing/>
        <w:jc w:val="both"/>
        <w:textAlignment w:val="auto"/>
        <w:rPr>
          <w:rFonts w:eastAsia="Calibri"/>
          <w:sz w:val="26"/>
          <w:rtl/>
          <w:lang w:eastAsia="en-US"/>
        </w:rPr>
      </w:pPr>
      <w:r w:rsidRPr="00416C7B">
        <w:rPr>
          <w:rFonts w:eastAsia="Calibri" w:hint="cs"/>
          <w:b/>
          <w:bCs/>
          <w:sz w:val="26"/>
          <w:rtl/>
          <w:lang w:eastAsia="en-US"/>
        </w:rPr>
        <w:t xml:space="preserve">אבטחת מידע בקרב ממשקים עסקיים </w:t>
      </w:r>
      <w:r w:rsidRPr="00416C7B">
        <w:rPr>
          <w:rFonts w:eastAsia="Calibri" w:hint="cs"/>
          <w:sz w:val="26"/>
          <w:rtl/>
          <w:lang w:eastAsia="en-US"/>
        </w:rPr>
        <w:t xml:space="preserve">- </w:t>
      </w:r>
      <w:r w:rsidRPr="00416C7B">
        <w:rPr>
          <w:rFonts w:eastAsia="Calibri"/>
          <w:sz w:val="26"/>
          <w:rtl/>
          <w:lang w:eastAsia="en-US"/>
        </w:rPr>
        <w:t>התוויית הטיפול, מבחינת הגנת המידע והסייבר,</w:t>
      </w:r>
      <w:r w:rsidRPr="00416C7B">
        <w:rPr>
          <w:rFonts w:eastAsia="Calibri" w:hint="cs"/>
          <w:sz w:val="26"/>
          <w:rtl/>
          <w:lang w:eastAsia="en-US"/>
        </w:rPr>
        <w:t xml:space="preserve"> </w:t>
      </w:r>
      <w:r w:rsidRPr="00416C7B">
        <w:rPr>
          <w:rFonts w:eastAsia="Calibri"/>
          <w:sz w:val="26"/>
          <w:rtl/>
          <w:lang w:eastAsia="en-US"/>
        </w:rPr>
        <w:t>בפעילות הממשקים העסקיים ו</w:t>
      </w:r>
      <w:r w:rsidRPr="00416C7B">
        <w:rPr>
          <w:rFonts w:eastAsia="Calibri" w:hint="cs"/>
          <w:sz w:val="26"/>
          <w:rtl/>
          <w:lang w:eastAsia="en-US"/>
        </w:rPr>
        <w:t>ה</w:t>
      </w:r>
      <w:r w:rsidRPr="00416C7B">
        <w:rPr>
          <w:rFonts w:eastAsia="Calibri"/>
          <w:sz w:val="26"/>
          <w:rtl/>
          <w:lang w:eastAsia="en-US"/>
        </w:rPr>
        <w:t>עובדים במשרד, במטרה להביא לתהליכים אופטימאליים המיושמים תחת עקרונות אחידים.</w:t>
      </w:r>
    </w:p>
    <w:p w:rsidR="00416C7B" w:rsidRPr="00416C7B" w:rsidRDefault="00416C7B" w:rsidP="00416C7B">
      <w:pPr>
        <w:numPr>
          <w:ilvl w:val="0"/>
          <w:numId w:val="3"/>
        </w:numPr>
        <w:overflowPunct/>
        <w:autoSpaceDE/>
        <w:autoSpaceDN/>
        <w:adjustRightInd/>
        <w:spacing w:before="120" w:after="120"/>
        <w:contextualSpacing/>
        <w:jc w:val="both"/>
        <w:textAlignment w:val="auto"/>
        <w:rPr>
          <w:rFonts w:eastAsia="Calibri"/>
          <w:sz w:val="26"/>
          <w:lang w:eastAsia="en-US"/>
        </w:rPr>
      </w:pPr>
      <w:r w:rsidRPr="00416C7B">
        <w:rPr>
          <w:rFonts w:eastAsia="Calibri" w:hint="cs"/>
          <w:b/>
          <w:bCs/>
          <w:sz w:val="26"/>
          <w:rtl/>
          <w:lang w:eastAsia="en-US"/>
        </w:rPr>
        <w:t>אבטחת מידע במעבר לענן ציבורי</w:t>
      </w:r>
      <w:r w:rsidRPr="00416C7B">
        <w:rPr>
          <w:rFonts w:eastAsia="Calibri" w:hint="cs"/>
          <w:sz w:val="26"/>
          <w:rtl/>
          <w:lang w:eastAsia="en-US"/>
        </w:rPr>
        <w:t xml:space="preserve"> - </w:t>
      </w:r>
      <w:r w:rsidRPr="00416C7B">
        <w:rPr>
          <w:rFonts w:eastAsia="Calibri"/>
          <w:sz w:val="26"/>
          <w:rtl/>
          <w:lang w:eastAsia="en-US"/>
        </w:rPr>
        <w:t>כיצד יש לבצע הערכת סיכונים ולממש את הבקרות הנדרשות במעבר לסביבת ענן</w:t>
      </w:r>
      <w:r w:rsidRPr="00416C7B">
        <w:rPr>
          <w:rFonts w:eastAsia="Calibri" w:hint="cs"/>
          <w:sz w:val="26"/>
          <w:rtl/>
          <w:lang w:eastAsia="en-US"/>
        </w:rPr>
        <w:t xml:space="preserve">. </w:t>
      </w:r>
    </w:p>
    <w:p w:rsidR="00416C7B" w:rsidRPr="00416C7B" w:rsidRDefault="00416C7B" w:rsidP="00416C7B">
      <w:pPr>
        <w:numPr>
          <w:ilvl w:val="0"/>
          <w:numId w:val="3"/>
        </w:numPr>
        <w:overflowPunct/>
        <w:autoSpaceDE/>
        <w:autoSpaceDN/>
        <w:adjustRightInd/>
        <w:spacing w:before="120" w:after="120"/>
        <w:contextualSpacing/>
        <w:jc w:val="both"/>
        <w:textAlignment w:val="auto"/>
        <w:rPr>
          <w:rFonts w:eastAsia="Calibri"/>
          <w:sz w:val="26"/>
          <w:rtl/>
          <w:lang w:eastAsia="en-US"/>
        </w:rPr>
      </w:pPr>
      <w:r w:rsidRPr="00416C7B">
        <w:rPr>
          <w:rFonts w:eastAsia="Calibri" w:hint="cs"/>
          <w:b/>
          <w:bCs/>
          <w:sz w:val="26"/>
          <w:rtl/>
          <w:lang w:eastAsia="en-US"/>
        </w:rPr>
        <w:t>נוהל אירועי אבטחת מידע</w:t>
      </w:r>
      <w:r w:rsidRPr="00416C7B">
        <w:rPr>
          <w:rFonts w:eastAsia="Calibri" w:hint="cs"/>
          <w:sz w:val="26"/>
          <w:rtl/>
          <w:lang w:eastAsia="en-US"/>
        </w:rPr>
        <w:t xml:space="preserve"> - מ</w:t>
      </w:r>
      <w:r w:rsidRPr="00416C7B">
        <w:rPr>
          <w:rFonts w:eastAsia="Calibri"/>
          <w:sz w:val="26"/>
          <w:rtl/>
          <w:lang w:eastAsia="en-US"/>
        </w:rPr>
        <w:t>גדיר את תהליך העבודה של הגופים השונים במשרד, כאשר מתרחש אירוע המוגדר כאירוע הגנת סייבר. הנוהל מסדיר את הנושאים הבאים:</w:t>
      </w:r>
      <w:r w:rsidRPr="00416C7B">
        <w:rPr>
          <w:rFonts w:eastAsia="Calibri" w:hint="cs"/>
          <w:sz w:val="26"/>
          <w:rtl/>
          <w:lang w:eastAsia="en-US"/>
        </w:rPr>
        <w:t xml:space="preserve"> </w:t>
      </w:r>
      <w:r w:rsidRPr="00416C7B">
        <w:rPr>
          <w:rFonts w:eastAsia="Calibri"/>
          <w:sz w:val="26"/>
          <w:rtl/>
          <w:lang w:eastAsia="en-US"/>
        </w:rPr>
        <w:t>הגדרת תהליכים לטיפול באירוע הגנת סייבר</w:t>
      </w:r>
      <w:r w:rsidRPr="00416C7B">
        <w:rPr>
          <w:rFonts w:eastAsia="Calibri" w:hint="cs"/>
          <w:sz w:val="26"/>
          <w:rtl/>
          <w:lang w:eastAsia="en-US"/>
        </w:rPr>
        <w:t xml:space="preserve">, </w:t>
      </w:r>
      <w:r w:rsidRPr="00416C7B">
        <w:rPr>
          <w:rFonts w:eastAsia="Calibri"/>
          <w:sz w:val="26"/>
          <w:rtl/>
          <w:lang w:eastAsia="en-US"/>
        </w:rPr>
        <w:t>מזעור וניטור נזקים הנובעים מאירועי הגנת סייבר</w:t>
      </w:r>
      <w:r w:rsidRPr="00416C7B">
        <w:rPr>
          <w:rFonts w:eastAsia="Calibri" w:hint="cs"/>
          <w:sz w:val="26"/>
          <w:rtl/>
          <w:lang w:eastAsia="en-US"/>
        </w:rPr>
        <w:t xml:space="preserve">, </w:t>
      </w:r>
      <w:r w:rsidRPr="00416C7B">
        <w:rPr>
          <w:rFonts w:eastAsia="Calibri"/>
          <w:sz w:val="26"/>
          <w:rtl/>
          <w:lang w:eastAsia="en-US"/>
        </w:rPr>
        <w:t>יצירת הליך להפקת לקחים למניעת הישנות מקרה דומה</w:t>
      </w:r>
      <w:r w:rsidRPr="00416C7B">
        <w:rPr>
          <w:rFonts w:eastAsia="Calibri" w:hint="cs"/>
          <w:sz w:val="26"/>
          <w:rtl/>
          <w:lang w:eastAsia="en-US"/>
        </w:rPr>
        <w:t xml:space="preserve">, </w:t>
      </w:r>
      <w:r w:rsidRPr="00416C7B">
        <w:rPr>
          <w:rFonts w:eastAsia="Calibri"/>
          <w:sz w:val="26"/>
          <w:rtl/>
          <w:lang w:eastAsia="en-US"/>
        </w:rPr>
        <w:t>הגדרת התהליך לדיווח על אירוע הגנת סייבר</w:t>
      </w:r>
      <w:r w:rsidRPr="00416C7B">
        <w:rPr>
          <w:rFonts w:eastAsia="Calibri" w:hint="cs"/>
          <w:sz w:val="26"/>
          <w:rtl/>
          <w:lang w:eastAsia="en-US"/>
        </w:rPr>
        <w:t xml:space="preserve">, </w:t>
      </w:r>
      <w:r w:rsidRPr="00416C7B">
        <w:rPr>
          <w:rFonts w:eastAsia="Calibri"/>
          <w:sz w:val="26"/>
          <w:rtl/>
          <w:lang w:eastAsia="en-US"/>
        </w:rPr>
        <w:t xml:space="preserve">הגדרת מתודולוגיה של תגובה לאירוע </w:t>
      </w:r>
      <w:r w:rsidRPr="00416C7B">
        <w:rPr>
          <w:rFonts w:eastAsia="Calibri" w:hint="cs"/>
          <w:sz w:val="26"/>
          <w:rtl/>
          <w:lang w:eastAsia="en-US"/>
        </w:rPr>
        <w:t>ו</w:t>
      </w:r>
      <w:r w:rsidRPr="00416C7B">
        <w:rPr>
          <w:rFonts w:eastAsia="Calibri"/>
          <w:sz w:val="26"/>
          <w:rtl/>
          <w:lang w:eastAsia="en-US"/>
        </w:rPr>
        <w:t xml:space="preserve">חזרה לשגרה לאחר אירוע הגנת סייבר. </w:t>
      </w:r>
    </w:p>
    <w:p w:rsidR="00416C7B" w:rsidRDefault="00416C7B" w:rsidP="00416C7B">
      <w:pPr>
        <w:numPr>
          <w:ilvl w:val="0"/>
          <w:numId w:val="3"/>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cs"/>
          <w:b/>
          <w:bCs/>
          <w:sz w:val="26"/>
          <w:rtl/>
          <w:lang w:eastAsia="en-US"/>
        </w:rPr>
        <w:t>תכנית הערכות לחירום</w:t>
      </w:r>
      <w:r w:rsidRPr="00416C7B">
        <w:rPr>
          <w:rFonts w:eastAsia="Calibri" w:hint="cs"/>
          <w:sz w:val="26"/>
          <w:rtl/>
          <w:lang w:eastAsia="en-US"/>
        </w:rPr>
        <w:t xml:space="preserve"> - </w:t>
      </w:r>
      <w:r w:rsidRPr="00416C7B">
        <w:rPr>
          <w:rFonts w:eastAsia="Calibri"/>
          <w:sz w:val="26"/>
          <w:rtl/>
          <w:lang w:eastAsia="en-US"/>
        </w:rPr>
        <w:t xml:space="preserve">מניעה או צמצום נזק הנובע מאירוע חריג בהיבט אבטחת מידע הכולל קריסת מערכות ו/או פגיעה במאגרי המידע של משרד האוצר </w:t>
      </w:r>
      <w:r w:rsidRPr="00416C7B">
        <w:rPr>
          <w:rFonts w:eastAsia="Calibri" w:hint="cs"/>
          <w:sz w:val="26"/>
          <w:rtl/>
          <w:lang w:eastAsia="en-US"/>
        </w:rPr>
        <w:t>ו</w:t>
      </w:r>
      <w:r w:rsidRPr="00416C7B">
        <w:rPr>
          <w:rFonts w:eastAsia="Calibri"/>
          <w:sz w:val="26"/>
          <w:rtl/>
          <w:lang w:eastAsia="en-US"/>
        </w:rPr>
        <w:t>הגדרת דרכי פעולה ובניית תכנית לניהול המשכיות תפקודית בעת קרות "אסון".</w:t>
      </w:r>
    </w:p>
    <w:p w:rsidR="00A44AB1" w:rsidRDefault="00A44AB1" w:rsidP="00A44AB1">
      <w:pPr>
        <w:overflowPunct/>
        <w:autoSpaceDE/>
        <w:autoSpaceDN/>
        <w:adjustRightInd/>
        <w:spacing w:beforeLines="25" w:before="60" w:afterLines="25" w:after="60"/>
        <w:contextualSpacing/>
        <w:jc w:val="both"/>
        <w:textAlignment w:val="auto"/>
        <w:rPr>
          <w:rFonts w:eastAsia="Calibri"/>
          <w:sz w:val="26"/>
          <w:rtl/>
          <w:lang w:eastAsia="en-US"/>
        </w:rPr>
      </w:pPr>
    </w:p>
    <w:p w:rsidR="00A44AB1" w:rsidRDefault="00A44AB1" w:rsidP="00A44AB1">
      <w:pPr>
        <w:overflowPunct/>
        <w:autoSpaceDE/>
        <w:autoSpaceDN/>
        <w:adjustRightInd/>
        <w:spacing w:beforeLines="25" w:before="60" w:afterLines="25" w:after="60"/>
        <w:contextualSpacing/>
        <w:jc w:val="both"/>
        <w:textAlignment w:val="auto"/>
        <w:rPr>
          <w:rFonts w:eastAsia="Calibri"/>
          <w:sz w:val="26"/>
          <w:rtl/>
          <w:lang w:eastAsia="en-US"/>
        </w:rPr>
      </w:pPr>
    </w:p>
    <w:p w:rsidR="00A44AB1" w:rsidRDefault="00A44AB1" w:rsidP="00A44AB1">
      <w:pPr>
        <w:overflowPunct/>
        <w:autoSpaceDE/>
        <w:autoSpaceDN/>
        <w:adjustRightInd/>
        <w:spacing w:beforeLines="25" w:before="60" w:afterLines="25" w:after="60"/>
        <w:contextualSpacing/>
        <w:jc w:val="both"/>
        <w:textAlignment w:val="auto"/>
        <w:rPr>
          <w:rFonts w:eastAsia="Calibri"/>
          <w:sz w:val="26"/>
          <w:rtl/>
          <w:lang w:eastAsia="en-US"/>
        </w:rPr>
      </w:pPr>
    </w:p>
    <w:p w:rsidR="00A44AB1" w:rsidRPr="00416C7B" w:rsidRDefault="00A44AB1" w:rsidP="00A44AB1">
      <w:pPr>
        <w:overflowPunct/>
        <w:autoSpaceDE/>
        <w:autoSpaceDN/>
        <w:adjustRightInd/>
        <w:spacing w:beforeLines="25" w:before="60" w:afterLines="25" w:after="60"/>
        <w:contextualSpacing/>
        <w:jc w:val="both"/>
        <w:textAlignment w:val="auto"/>
        <w:rPr>
          <w:rFonts w:eastAsia="Calibri"/>
          <w:sz w:val="26"/>
          <w:rtl/>
          <w:lang w:eastAsia="en-US"/>
        </w:rPr>
      </w:pPr>
    </w:p>
    <w:p w:rsidR="00416C7B" w:rsidRPr="00416C7B" w:rsidRDefault="00416C7B" w:rsidP="00416C7B">
      <w:pPr>
        <w:numPr>
          <w:ilvl w:val="0"/>
          <w:numId w:val="1"/>
        </w:numPr>
        <w:overflowPunct/>
        <w:autoSpaceDE/>
        <w:autoSpaceDN/>
        <w:adjustRightInd/>
        <w:spacing w:beforeLines="25" w:before="60" w:afterLines="25" w:after="60"/>
        <w:contextualSpacing/>
        <w:jc w:val="both"/>
        <w:textAlignment w:val="auto"/>
        <w:rPr>
          <w:rFonts w:eastAsia="Calibri"/>
          <w:sz w:val="26"/>
          <w:lang w:eastAsia="en-US"/>
        </w:rPr>
      </w:pPr>
      <w:r w:rsidRPr="00416C7B">
        <w:rPr>
          <w:rFonts w:eastAsia="Calibri" w:hint="eastAsia"/>
          <w:sz w:val="26"/>
          <w:rtl/>
          <w:lang w:eastAsia="en-US"/>
        </w:rPr>
        <w:lastRenderedPageBreak/>
        <w:t>מצורפת</w:t>
      </w:r>
      <w:r w:rsidRPr="00416C7B">
        <w:rPr>
          <w:rFonts w:eastAsia="Calibri"/>
          <w:sz w:val="26"/>
          <w:rtl/>
          <w:lang w:eastAsia="en-US"/>
        </w:rPr>
        <w:t xml:space="preserve"> </w:t>
      </w:r>
      <w:r w:rsidRPr="00416C7B">
        <w:rPr>
          <w:rFonts w:eastAsia="Calibri" w:hint="eastAsia"/>
          <w:sz w:val="26"/>
          <w:rtl/>
          <w:lang w:eastAsia="en-US"/>
        </w:rPr>
        <w:t>רשימת</w:t>
      </w:r>
      <w:r w:rsidRPr="00416C7B">
        <w:rPr>
          <w:rFonts w:eastAsia="Calibri"/>
          <w:sz w:val="26"/>
          <w:rtl/>
          <w:lang w:eastAsia="en-US"/>
        </w:rPr>
        <w:t xml:space="preserve"> </w:t>
      </w:r>
      <w:r w:rsidRPr="00416C7B">
        <w:rPr>
          <w:rFonts w:eastAsia="Calibri" w:hint="eastAsia"/>
          <w:sz w:val="26"/>
          <w:rtl/>
          <w:lang w:eastAsia="en-US"/>
        </w:rPr>
        <w:t>מאגרי</w:t>
      </w:r>
      <w:r w:rsidRPr="00416C7B">
        <w:rPr>
          <w:rFonts w:eastAsia="Calibri"/>
          <w:sz w:val="26"/>
          <w:rtl/>
          <w:lang w:eastAsia="en-US"/>
        </w:rPr>
        <w:t xml:space="preserve"> </w:t>
      </w:r>
      <w:r w:rsidRPr="00416C7B">
        <w:rPr>
          <w:rFonts w:eastAsia="Calibri" w:hint="eastAsia"/>
          <w:sz w:val="26"/>
          <w:rtl/>
          <w:lang w:eastAsia="en-US"/>
        </w:rPr>
        <w:t>משרד</w:t>
      </w:r>
      <w:r w:rsidRPr="00416C7B">
        <w:rPr>
          <w:rFonts w:eastAsia="Calibri"/>
          <w:sz w:val="26"/>
          <w:rtl/>
          <w:lang w:eastAsia="en-US"/>
        </w:rPr>
        <w:t xml:space="preserve"> </w:t>
      </w:r>
      <w:r w:rsidRPr="00416C7B">
        <w:rPr>
          <w:rFonts w:eastAsia="Calibri" w:hint="eastAsia"/>
          <w:sz w:val="26"/>
          <w:rtl/>
          <w:lang w:eastAsia="en-US"/>
        </w:rPr>
        <w:t>האוצר</w:t>
      </w:r>
      <w:r w:rsidRPr="00416C7B">
        <w:rPr>
          <w:rFonts w:eastAsia="Calibri"/>
          <w:sz w:val="26"/>
          <w:rtl/>
          <w:lang w:eastAsia="en-US"/>
        </w:rPr>
        <w:t xml:space="preserve"> </w:t>
      </w:r>
      <w:r w:rsidRPr="00416C7B">
        <w:rPr>
          <w:rFonts w:eastAsia="Calibri" w:hint="eastAsia"/>
          <w:sz w:val="26"/>
          <w:rtl/>
          <w:lang w:eastAsia="en-US"/>
        </w:rPr>
        <w:t>כפי</w:t>
      </w:r>
      <w:r w:rsidRPr="00416C7B">
        <w:rPr>
          <w:rFonts w:eastAsia="Calibri"/>
          <w:sz w:val="26"/>
          <w:rtl/>
          <w:lang w:eastAsia="en-US"/>
        </w:rPr>
        <w:t xml:space="preserve"> </w:t>
      </w:r>
      <w:r w:rsidRPr="00416C7B">
        <w:rPr>
          <w:rFonts w:eastAsia="Calibri" w:hint="eastAsia"/>
          <w:sz w:val="26"/>
          <w:rtl/>
          <w:lang w:eastAsia="en-US"/>
        </w:rPr>
        <w:t>שרשומה</w:t>
      </w:r>
      <w:r w:rsidRPr="00416C7B">
        <w:rPr>
          <w:rFonts w:eastAsia="Calibri"/>
          <w:sz w:val="26"/>
          <w:rtl/>
          <w:lang w:eastAsia="en-US"/>
        </w:rPr>
        <w:t xml:space="preserve"> </w:t>
      </w:r>
      <w:r w:rsidRPr="00416C7B">
        <w:rPr>
          <w:rFonts w:eastAsia="Calibri" w:hint="eastAsia"/>
          <w:sz w:val="26"/>
          <w:rtl/>
          <w:lang w:eastAsia="en-US"/>
        </w:rPr>
        <w:t>כיום</w:t>
      </w:r>
      <w:r w:rsidRPr="00416C7B">
        <w:rPr>
          <w:rFonts w:eastAsia="Calibri"/>
          <w:sz w:val="26"/>
          <w:rtl/>
          <w:lang w:eastAsia="en-US"/>
        </w:rPr>
        <w:t xml:space="preserve"> </w:t>
      </w:r>
      <w:r w:rsidRPr="00416C7B">
        <w:rPr>
          <w:rFonts w:eastAsia="Calibri" w:hint="eastAsia"/>
          <w:sz w:val="26"/>
          <w:rtl/>
          <w:lang w:eastAsia="en-US"/>
        </w:rPr>
        <w:t>אצל</w:t>
      </w:r>
      <w:r w:rsidRPr="00416C7B">
        <w:rPr>
          <w:rFonts w:eastAsia="Calibri"/>
          <w:sz w:val="26"/>
          <w:rtl/>
          <w:lang w:eastAsia="en-US"/>
        </w:rPr>
        <w:t xml:space="preserve"> </w:t>
      </w:r>
      <w:r w:rsidRPr="00416C7B">
        <w:rPr>
          <w:rFonts w:eastAsia="Calibri" w:hint="eastAsia"/>
          <w:sz w:val="26"/>
          <w:rtl/>
          <w:lang w:eastAsia="en-US"/>
        </w:rPr>
        <w:t>רשם</w:t>
      </w:r>
      <w:r w:rsidRPr="00416C7B">
        <w:rPr>
          <w:rFonts w:eastAsia="Calibri"/>
          <w:sz w:val="26"/>
          <w:rtl/>
          <w:lang w:eastAsia="en-US"/>
        </w:rPr>
        <w:t xml:space="preserve"> </w:t>
      </w:r>
      <w:r w:rsidRPr="00416C7B">
        <w:rPr>
          <w:rFonts w:eastAsia="Calibri" w:hint="eastAsia"/>
          <w:sz w:val="26"/>
          <w:rtl/>
          <w:lang w:eastAsia="en-US"/>
        </w:rPr>
        <w:t>המאגרים</w:t>
      </w:r>
      <w:r w:rsidRPr="00416C7B">
        <w:rPr>
          <w:rFonts w:eastAsia="Calibri"/>
          <w:sz w:val="26"/>
          <w:rtl/>
          <w:lang w:eastAsia="en-US"/>
        </w:rPr>
        <w:t>.</w:t>
      </w:r>
      <w:r w:rsidRPr="00416C7B">
        <w:rPr>
          <w:rFonts w:eastAsia="Calibri" w:hint="cs"/>
          <w:sz w:val="26"/>
          <w:rtl/>
          <w:lang w:eastAsia="en-US"/>
        </w:rPr>
        <w:t xml:space="preserve"> למען שלמות התמונה, יצוין כי </w:t>
      </w:r>
      <w:r w:rsidRPr="00416C7B">
        <w:rPr>
          <w:rFonts w:eastAsia="Calibri"/>
          <w:sz w:val="26"/>
          <w:rtl/>
          <w:lang w:eastAsia="en-US"/>
        </w:rPr>
        <w:t xml:space="preserve">בימים אלו, </w:t>
      </w:r>
      <w:r w:rsidRPr="00416C7B">
        <w:rPr>
          <w:rFonts w:eastAsia="Calibri" w:hint="eastAsia"/>
          <w:sz w:val="26"/>
          <w:rtl/>
          <w:lang w:eastAsia="en-US"/>
        </w:rPr>
        <w:t>משרד</w:t>
      </w:r>
      <w:r w:rsidRPr="00416C7B">
        <w:rPr>
          <w:rFonts w:eastAsia="Calibri"/>
          <w:sz w:val="26"/>
          <w:rtl/>
          <w:lang w:eastAsia="en-US"/>
        </w:rPr>
        <w:t xml:space="preserve"> </w:t>
      </w:r>
      <w:r w:rsidRPr="00416C7B">
        <w:rPr>
          <w:rFonts w:eastAsia="Calibri" w:hint="eastAsia"/>
          <w:sz w:val="26"/>
          <w:rtl/>
          <w:lang w:eastAsia="en-US"/>
        </w:rPr>
        <w:t>האוצר</w:t>
      </w:r>
      <w:r w:rsidRPr="00416C7B">
        <w:rPr>
          <w:rFonts w:eastAsia="Calibri"/>
          <w:sz w:val="26"/>
          <w:rtl/>
          <w:lang w:eastAsia="en-US"/>
        </w:rPr>
        <w:t xml:space="preserve"> </w:t>
      </w:r>
      <w:r w:rsidRPr="00416C7B">
        <w:rPr>
          <w:rFonts w:eastAsia="Calibri" w:hint="cs"/>
          <w:sz w:val="26"/>
          <w:rtl/>
          <w:lang w:eastAsia="en-US"/>
        </w:rPr>
        <w:t>עורך</w:t>
      </w:r>
      <w:r w:rsidRPr="00416C7B">
        <w:rPr>
          <w:rFonts w:eastAsia="Calibri"/>
          <w:sz w:val="26"/>
          <w:rtl/>
          <w:lang w:eastAsia="en-US"/>
        </w:rPr>
        <w:t xml:space="preserve"> מיפוי </w:t>
      </w:r>
      <w:r w:rsidRPr="00416C7B">
        <w:rPr>
          <w:rFonts w:eastAsia="Calibri" w:hint="cs"/>
          <w:sz w:val="26"/>
          <w:rtl/>
          <w:lang w:eastAsia="en-US"/>
        </w:rPr>
        <w:t xml:space="preserve">של </w:t>
      </w:r>
      <w:r w:rsidRPr="00416C7B">
        <w:rPr>
          <w:rFonts w:eastAsia="Calibri"/>
          <w:sz w:val="26"/>
          <w:rtl/>
          <w:lang w:eastAsia="en-US"/>
        </w:rPr>
        <w:t xml:space="preserve">מאגרי המידע במשרד האוצר </w:t>
      </w:r>
      <w:r w:rsidRPr="00416C7B">
        <w:rPr>
          <w:rFonts w:eastAsia="Calibri" w:hint="eastAsia"/>
          <w:sz w:val="26"/>
          <w:rtl/>
          <w:lang w:eastAsia="en-US"/>
        </w:rPr>
        <w:t>ו</w:t>
      </w:r>
      <w:r w:rsidRPr="00416C7B">
        <w:rPr>
          <w:rFonts w:eastAsia="Calibri" w:hint="cs"/>
          <w:sz w:val="26"/>
          <w:rtl/>
          <w:lang w:eastAsia="en-US"/>
        </w:rPr>
        <w:t xml:space="preserve">הסדרת </w:t>
      </w:r>
      <w:r w:rsidRPr="00416C7B">
        <w:rPr>
          <w:rFonts w:eastAsia="Calibri" w:hint="eastAsia"/>
          <w:sz w:val="26"/>
          <w:rtl/>
          <w:lang w:eastAsia="en-US"/>
        </w:rPr>
        <w:t>רישומם</w:t>
      </w:r>
      <w:r w:rsidRPr="00416C7B">
        <w:rPr>
          <w:rFonts w:eastAsia="Calibri" w:hint="cs"/>
          <w:sz w:val="26"/>
          <w:rtl/>
          <w:lang w:eastAsia="en-US"/>
        </w:rPr>
        <w:t xml:space="preserve">, ובכלל זה </w:t>
      </w:r>
      <w:r w:rsidRPr="00416C7B">
        <w:rPr>
          <w:rFonts w:eastAsia="Calibri" w:hint="eastAsia"/>
          <w:sz w:val="26"/>
          <w:rtl/>
          <w:lang w:eastAsia="en-US"/>
        </w:rPr>
        <w:t>מאגרי</w:t>
      </w:r>
      <w:r w:rsidRPr="00416C7B">
        <w:rPr>
          <w:rFonts w:eastAsia="Calibri"/>
          <w:sz w:val="26"/>
          <w:rtl/>
          <w:lang w:eastAsia="en-US"/>
        </w:rPr>
        <w:t xml:space="preserve"> מידע שטרם נרשמו</w:t>
      </w:r>
      <w:r w:rsidRPr="00416C7B">
        <w:rPr>
          <w:rFonts w:eastAsia="Calibri" w:hint="cs"/>
          <w:sz w:val="26"/>
          <w:rtl/>
          <w:lang w:eastAsia="en-US"/>
        </w:rPr>
        <w:t>, אך</w:t>
      </w:r>
      <w:r w:rsidRPr="00416C7B">
        <w:rPr>
          <w:rFonts w:eastAsia="Calibri"/>
          <w:sz w:val="26"/>
          <w:rtl/>
          <w:lang w:eastAsia="en-US"/>
        </w:rPr>
        <w:t xml:space="preserve"> </w:t>
      </w:r>
      <w:r w:rsidRPr="00416C7B">
        <w:rPr>
          <w:rFonts w:eastAsia="Calibri" w:hint="eastAsia"/>
          <w:sz w:val="26"/>
          <w:rtl/>
          <w:lang w:eastAsia="en-US"/>
        </w:rPr>
        <w:t>פרויקט</w:t>
      </w:r>
      <w:r w:rsidRPr="00416C7B">
        <w:rPr>
          <w:rFonts w:eastAsia="Calibri"/>
          <w:sz w:val="26"/>
          <w:rtl/>
          <w:lang w:eastAsia="en-US"/>
        </w:rPr>
        <w:t xml:space="preserve"> זה טרם הגיע לסיומו</w:t>
      </w:r>
      <w:r w:rsidRPr="00416C7B">
        <w:rPr>
          <w:rFonts w:eastAsia="Calibri" w:hint="cs"/>
          <w:sz w:val="26"/>
          <w:rtl/>
          <w:lang w:eastAsia="en-US"/>
        </w:rPr>
        <w:t>.</w:t>
      </w:r>
      <w:r w:rsidRPr="00416C7B">
        <w:rPr>
          <w:rFonts w:eastAsia="Calibri"/>
          <w:sz w:val="26"/>
          <w:rtl/>
          <w:lang w:eastAsia="en-US"/>
        </w:rPr>
        <w:t xml:space="preserve"> </w:t>
      </w:r>
    </w:p>
    <w:p w:rsidR="00416C7B" w:rsidRPr="00416C7B" w:rsidRDefault="00416C7B" w:rsidP="00416C7B">
      <w:pPr>
        <w:tabs>
          <w:tab w:val="center" w:pos="2975"/>
          <w:tab w:val="center" w:pos="6803"/>
        </w:tabs>
        <w:overflowPunct/>
        <w:autoSpaceDE/>
        <w:autoSpaceDN/>
        <w:adjustRightInd/>
        <w:spacing w:beforeLines="25" w:before="60" w:afterLines="25" w:after="60"/>
        <w:textAlignment w:val="auto"/>
        <w:rPr>
          <w:rFonts w:eastAsia="Calibri"/>
          <w:sz w:val="26"/>
          <w:szCs w:val="26"/>
          <w:rtl/>
          <w:lang w:eastAsia="en-US"/>
        </w:rPr>
      </w:pPr>
      <w:r w:rsidRPr="00416C7B">
        <w:rPr>
          <w:rFonts w:eastAsia="Calibri" w:hint="cs"/>
          <w:sz w:val="26"/>
          <w:szCs w:val="26"/>
          <w:rtl/>
          <w:lang w:eastAsia="en-US"/>
        </w:rPr>
        <w:tab/>
      </w:r>
      <w:r w:rsidRPr="00416C7B">
        <w:rPr>
          <w:rFonts w:eastAsia="Calibri" w:hint="cs"/>
          <w:sz w:val="26"/>
          <w:szCs w:val="26"/>
          <w:rtl/>
          <w:lang w:eastAsia="en-US"/>
        </w:rPr>
        <w:tab/>
      </w:r>
    </w:p>
    <w:p w:rsidR="00B4289C" w:rsidRDefault="00B4289C">
      <w:pPr>
        <w:rPr>
          <w:rtl/>
        </w:rPr>
      </w:pPr>
    </w:p>
    <w:p w:rsidR="00B4289C" w:rsidRDefault="00B4289C"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p>
    <w:p w:rsidR="00A44AB1" w:rsidRDefault="00A44AB1" w:rsidP="00A44AB1">
      <w:pPr>
        <w:rPr>
          <w:rtl/>
        </w:rPr>
      </w:pPr>
      <w:bookmarkStart w:id="6" w:name="_GoBack"/>
      <w:bookmarkEnd w:id="6"/>
    </w:p>
    <w:p w:rsidR="00B4289C" w:rsidRDefault="00B4289C">
      <w:pPr>
        <w:rPr>
          <w:rtl/>
        </w:rPr>
      </w:pPr>
    </w:p>
    <w:p w:rsidR="00B4289C" w:rsidRDefault="00B4289C">
      <w:pPr>
        <w:rPr>
          <w:rtl/>
        </w:rPr>
      </w:pPr>
    </w:p>
    <w:p w:rsidR="00B4289C" w:rsidRDefault="00B4289C" w:rsidP="00F02E85">
      <w:pPr>
        <w:ind w:left="5022"/>
        <w:jc w:val="center"/>
        <w:rPr>
          <w:rtl/>
        </w:rPr>
      </w:pPr>
      <w:r>
        <w:rPr>
          <w:rtl/>
        </w:rPr>
        <w:t>בכבוד רב ,</w:t>
      </w:r>
    </w:p>
    <w:p w:rsidR="00B4289C" w:rsidRDefault="0096021E" w:rsidP="00F02E85">
      <w:pPr>
        <w:ind w:left="5022"/>
        <w:jc w:val="center"/>
        <w:rPr>
          <w:rtl/>
        </w:rPr>
      </w:pPr>
      <w:r>
        <w:rPr>
          <w:noProof/>
          <w:lang w:eastAsia="en-US"/>
        </w:rPr>
        <w:drawing>
          <wp:inline distT="0" distB="0" distL="0" distR="0">
            <wp:extent cx="1104900" cy="495300"/>
            <wp:effectExtent l="0" t="0" r="0" b="0"/>
            <wp:docPr id="1" name="תמונה 1" descr="P:\Tmtaly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mtaly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inline>
        </w:drawing>
      </w:r>
    </w:p>
    <w:p w:rsidR="00F02E85" w:rsidRDefault="00F02E85" w:rsidP="00F02E85">
      <w:pPr>
        <w:ind w:left="5022"/>
        <w:jc w:val="center"/>
        <w:rPr>
          <w:rtl/>
        </w:rPr>
      </w:pPr>
      <w:r>
        <w:rPr>
          <w:rFonts w:hint="cs"/>
          <w:rtl/>
        </w:rPr>
        <w:t>אנט קליימן</w:t>
      </w:r>
    </w:p>
    <w:p w:rsidR="00B4289C" w:rsidRDefault="00B4289C" w:rsidP="00F02E85">
      <w:pPr>
        <w:ind w:left="5022"/>
        <w:jc w:val="center"/>
        <w:rPr>
          <w:rtl/>
        </w:rPr>
      </w:pPr>
      <w:r>
        <w:rPr>
          <w:rtl/>
        </w:rPr>
        <w:t>ממונה על פניות הציבור וחוק חופש המידע</w:t>
      </w:r>
    </w:p>
    <w:p w:rsidR="00B4289C" w:rsidRDefault="00B4289C">
      <w:pPr>
        <w:rPr>
          <w:rtl/>
        </w:rPr>
      </w:pPr>
    </w:p>
    <w:p w:rsidR="00B4289C" w:rsidRDefault="00B4289C"/>
    <w:sectPr w:rsidR="00B4289C">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B0" w:rsidRDefault="002B51B0">
      <w:pPr>
        <w:spacing w:line="240" w:lineRule="auto"/>
      </w:pPr>
      <w:r>
        <w:separator/>
      </w:r>
    </w:p>
  </w:endnote>
  <w:endnote w:type="continuationSeparator" w:id="0">
    <w:p w:rsidR="002B51B0" w:rsidRDefault="002B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B0" w:rsidRDefault="002B51B0">
      <w:pPr>
        <w:spacing w:line="240" w:lineRule="auto"/>
      </w:pPr>
      <w:r>
        <w:separator/>
      </w:r>
    </w:p>
  </w:footnote>
  <w:footnote w:type="continuationSeparator" w:id="0">
    <w:p w:rsidR="002B51B0" w:rsidRDefault="002B5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CB2" w:rsidRDefault="00656C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0BD8"/>
    <w:multiLevelType w:val="hybridMultilevel"/>
    <w:tmpl w:val="30743B06"/>
    <w:lvl w:ilvl="0" w:tplc="7DBE8974">
      <w:start w:val="1"/>
      <w:numFmt w:val="hebrew1"/>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15:restartNumberingAfterBreak="0">
    <w:nsid w:val="4ADF136B"/>
    <w:multiLevelType w:val="hybridMultilevel"/>
    <w:tmpl w:val="30743B06"/>
    <w:lvl w:ilvl="0" w:tplc="7DBE8974">
      <w:start w:val="1"/>
      <w:numFmt w:val="hebrew1"/>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51865942"/>
    <w:multiLevelType w:val="hybridMultilevel"/>
    <w:tmpl w:val="796CA7FC"/>
    <w:lvl w:ilvl="0" w:tplc="1CB6D142">
      <w:start w:val="1"/>
      <w:numFmt w:val="decimal"/>
      <w:lvlText w:val="%1."/>
      <w:lvlJc w:val="left"/>
      <w:pPr>
        <w:ind w:left="346" w:hanging="360"/>
      </w:pPr>
      <w:rPr>
        <w:rFonts w:hint="default"/>
      </w:rPr>
    </w:lvl>
    <w:lvl w:ilvl="1" w:tplc="04090019">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B0"/>
    <w:rsid w:val="000503E2"/>
    <w:rsid w:val="002B51B0"/>
    <w:rsid w:val="002E6886"/>
    <w:rsid w:val="003D55DA"/>
    <w:rsid w:val="00416C7B"/>
    <w:rsid w:val="00420305"/>
    <w:rsid w:val="00656CB2"/>
    <w:rsid w:val="0096021E"/>
    <w:rsid w:val="00A44AB1"/>
    <w:rsid w:val="00B4289C"/>
    <w:rsid w:val="00ED083D"/>
    <w:rsid w:val="00F02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27C8B"/>
  <w15:chartTrackingRefBased/>
  <w15:docId w15:val="{499DACF5-6875-4539-A02E-860C519E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line="360" w:lineRule="auto"/>
      <w:textAlignment w:val="baseline"/>
    </w:pPr>
    <w:rPr>
      <w:rFonts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etapp\projects\information\fre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free.DOT</Template>
  <TotalTime>0</TotalTime>
  <Pages>3</Pages>
  <Words>563</Words>
  <Characters>2815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תאריך: ‏י"א חשון, תשנ"ח</vt:lpstr>
    </vt:vector>
  </TitlesOfParts>
  <Company>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טליה לוי</dc:creator>
  <cp:keywords/>
  <dc:description/>
  <cp:lastModifiedBy>טליה לוי</cp:lastModifiedBy>
  <cp:revision>2</cp:revision>
  <dcterms:created xsi:type="dcterms:W3CDTF">2020-01-12T14:37:00Z</dcterms:created>
  <dcterms:modified xsi:type="dcterms:W3CDTF">2020-01-12T14:37:00Z</dcterms:modified>
</cp:coreProperties>
</file>