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02" w:rsidRPr="00DA31E2" w:rsidRDefault="00FB1E2B" w:rsidP="00FB1E2B">
      <w:pPr>
        <w:jc w:val="center"/>
        <w:rPr>
          <w:rFonts w:asciiTheme="minorBidi" w:hAnsiTheme="minorBidi" w:cstheme="minorBidi"/>
          <w:sz w:val="28"/>
          <w:szCs w:val="28"/>
          <w:u w:val="single"/>
          <w:rtl/>
        </w:rPr>
      </w:pPr>
      <w:r w:rsidRPr="00DA31E2">
        <w:rPr>
          <w:rFonts w:asciiTheme="minorBidi" w:hAnsiTheme="minorBidi" w:cstheme="minorBidi"/>
          <w:sz w:val="28"/>
          <w:szCs w:val="28"/>
          <w:u w:val="single"/>
          <w:rtl/>
        </w:rPr>
        <w:t>ריענון כללי אבטחת מידע ברשות האוכלוסין</w:t>
      </w:r>
    </w:p>
    <w:p w:rsidR="00FB1E2B" w:rsidRPr="00DA31E2" w:rsidRDefault="00FB1E2B" w:rsidP="00213902">
      <w:pPr>
        <w:rPr>
          <w:rFonts w:asciiTheme="minorBidi" w:hAnsiTheme="minorBidi" w:cstheme="minorBidi"/>
        </w:rPr>
      </w:pPr>
    </w:p>
    <w:p w:rsidR="002A4D2B" w:rsidRDefault="002A4D2B" w:rsidP="002A4D2B">
      <w:pPr>
        <w:pStyle w:val="ListParagraph"/>
        <w:numPr>
          <w:ilvl w:val="0"/>
          <w:numId w:val="5"/>
        </w:numPr>
        <w:spacing w:after="240"/>
        <w:ind w:left="368" w:hanging="284"/>
        <w:jc w:val="both"/>
        <w:rPr>
          <w:rFonts w:ascii="Arial" w:hAnsi="Arial" w:cs="Arial"/>
        </w:rPr>
      </w:pPr>
      <w:r>
        <w:rPr>
          <w:rFonts w:ascii="Arial" w:hAnsi="Arial" w:cs="Arial"/>
          <w:rtl/>
        </w:rPr>
        <w:t>חל</w:t>
      </w:r>
      <w:r>
        <w:rPr>
          <w:rFonts w:ascii="Arial" w:hAnsi="Arial" w:cs="Arial"/>
        </w:rPr>
        <w:t xml:space="preserve"> </w:t>
      </w:r>
      <w:r>
        <w:rPr>
          <w:rFonts w:ascii="Arial" w:hAnsi="Arial" w:cs="Arial"/>
          <w:rtl/>
        </w:rPr>
        <w:t>איסור לעשות שימוש במערכות הרשות החורג ממסגרת התפקיד ו/או האחריות של העובד. איסור זה כולל שימוש לא מורשה במערכות הרשות לטובת צפייה/ שינוי/ מחיקה/ מסירת מידע עבור האוכלוסיות הבאות: עובדים אחרים ברשות, קרובי משפחה מדרגה ראשונה, קידום עניינים אישיים של העובד עצמו או כל אדם אחר לא מורשה.</w:t>
      </w:r>
    </w:p>
    <w:p w:rsidR="002A4D2B" w:rsidRDefault="002A4D2B" w:rsidP="002A4D2B">
      <w:pPr>
        <w:pStyle w:val="ListParagraph"/>
        <w:numPr>
          <w:ilvl w:val="0"/>
          <w:numId w:val="5"/>
        </w:numPr>
        <w:spacing w:after="240"/>
        <w:ind w:left="368" w:hanging="284"/>
        <w:jc w:val="both"/>
        <w:rPr>
          <w:rFonts w:ascii="Arial" w:hAnsi="Arial" w:cs="Arial"/>
          <w:rtl/>
        </w:rPr>
      </w:pPr>
      <w:r>
        <w:rPr>
          <w:rFonts w:ascii="Arial" w:hAnsi="Arial" w:cs="Arial"/>
          <w:rtl/>
        </w:rPr>
        <w:t>חשבון המשתמש הינו אישי ואינו ניתן להעברה- חל איסור לעשות שימוש בחשבון של עובד אחר.</w:t>
      </w:r>
    </w:p>
    <w:p w:rsidR="002A4D2B" w:rsidRDefault="002A4D2B" w:rsidP="002A4D2B">
      <w:pPr>
        <w:pStyle w:val="ListParagraph"/>
        <w:numPr>
          <w:ilvl w:val="0"/>
          <w:numId w:val="5"/>
        </w:numPr>
        <w:spacing w:after="240"/>
        <w:ind w:left="368" w:hanging="284"/>
        <w:jc w:val="both"/>
        <w:rPr>
          <w:rFonts w:ascii="Arial" w:hAnsi="Arial" w:cs="Arial"/>
        </w:rPr>
      </w:pPr>
      <w:r>
        <w:rPr>
          <w:rFonts w:ascii="Arial" w:hAnsi="Arial" w:cs="Arial"/>
          <w:rtl/>
        </w:rPr>
        <w:t xml:space="preserve">חל איסור להעביר את הסיסמה או את רכיב ההזדהות ("כרטיס חכם" או "טוקן") </w:t>
      </w:r>
      <w:r>
        <w:rPr>
          <w:rFonts w:ascii="Arial" w:hAnsi="Arial" w:cs="Arial"/>
          <w:b/>
          <w:bCs/>
          <w:rtl/>
        </w:rPr>
        <w:t>לכל גורם</w:t>
      </w:r>
      <w:r>
        <w:rPr>
          <w:rFonts w:ascii="Arial" w:hAnsi="Arial" w:cs="Arial"/>
          <w:rtl/>
        </w:rPr>
        <w:t xml:space="preserve">, </w:t>
      </w:r>
      <w:r>
        <w:rPr>
          <w:rFonts w:ascii="Arial" w:hAnsi="Arial" w:cs="Arial"/>
          <w:b/>
          <w:bCs/>
          <w:rtl/>
        </w:rPr>
        <w:t>כולל עובדים אחרים</w:t>
      </w:r>
      <w:r>
        <w:rPr>
          <w:rFonts w:ascii="Arial" w:hAnsi="Arial" w:cs="Arial"/>
          <w:rtl/>
        </w:rPr>
        <w:t xml:space="preserve"> ואנשי תמיכה ותחזוקה בעת טיפולם בתקלה.</w:t>
      </w:r>
    </w:p>
    <w:p w:rsidR="002A4D2B" w:rsidRDefault="002A4D2B" w:rsidP="002A4D2B">
      <w:pPr>
        <w:pStyle w:val="ListParagraph"/>
        <w:numPr>
          <w:ilvl w:val="0"/>
          <w:numId w:val="5"/>
        </w:numPr>
        <w:spacing w:after="240"/>
        <w:ind w:left="368" w:hanging="284"/>
        <w:jc w:val="both"/>
        <w:rPr>
          <w:rFonts w:ascii="Arial" w:hAnsi="Arial" w:cs="Arial"/>
        </w:rPr>
      </w:pPr>
      <w:r>
        <w:rPr>
          <w:rFonts w:ascii="Arial" w:hAnsi="Arial" w:cs="Arial"/>
          <w:rtl/>
        </w:rPr>
        <w:t>חל איסור להשאיר את רכיב ההזדהות במחשב כאשר אינו בשימוש.</w:t>
      </w:r>
    </w:p>
    <w:p w:rsidR="002A4D2B" w:rsidRDefault="002A4D2B" w:rsidP="002A4D2B">
      <w:pPr>
        <w:pStyle w:val="ListParagraph"/>
        <w:numPr>
          <w:ilvl w:val="0"/>
          <w:numId w:val="5"/>
        </w:numPr>
        <w:spacing w:after="240"/>
        <w:ind w:left="368" w:hanging="284"/>
        <w:jc w:val="both"/>
        <w:rPr>
          <w:rFonts w:ascii="Arial" w:hAnsi="Arial" w:cs="Arial"/>
        </w:rPr>
      </w:pPr>
      <w:r>
        <w:rPr>
          <w:rFonts w:ascii="Arial" w:hAnsi="Arial" w:cs="Arial"/>
          <w:rtl/>
        </w:rPr>
        <w:t>אין לרשום סיסמה (על נייר/תחת המקלדת וכו') בסמוך לעמדת מחשב.</w:t>
      </w:r>
    </w:p>
    <w:p w:rsidR="002A4D2B" w:rsidRDefault="002A4D2B" w:rsidP="002A4D2B">
      <w:pPr>
        <w:pStyle w:val="ListParagraph"/>
        <w:numPr>
          <w:ilvl w:val="0"/>
          <w:numId w:val="5"/>
        </w:numPr>
        <w:spacing w:after="240"/>
        <w:ind w:left="368" w:hanging="284"/>
        <w:jc w:val="both"/>
        <w:rPr>
          <w:rFonts w:ascii="Arial" w:hAnsi="Arial" w:cs="Arial"/>
        </w:rPr>
      </w:pPr>
      <w:r>
        <w:rPr>
          <w:rFonts w:ascii="Arial" w:hAnsi="Arial" w:cs="Arial"/>
          <w:rtl/>
        </w:rPr>
        <w:t>יש לוודא נעילת החשבון בעת סיום העבודה במערכת.</w:t>
      </w:r>
    </w:p>
    <w:p w:rsidR="002A4D2B" w:rsidRDefault="002A4D2B" w:rsidP="002A4D2B">
      <w:pPr>
        <w:pStyle w:val="ListParagraph"/>
        <w:numPr>
          <w:ilvl w:val="0"/>
          <w:numId w:val="5"/>
        </w:numPr>
        <w:spacing w:after="240"/>
        <w:ind w:left="368" w:hanging="284"/>
        <w:jc w:val="both"/>
        <w:rPr>
          <w:rFonts w:ascii="Arial" w:hAnsi="Arial" w:cs="Arial"/>
        </w:rPr>
      </w:pPr>
      <w:r>
        <w:rPr>
          <w:rFonts w:ascii="Arial" w:hAnsi="Arial" w:cs="Arial"/>
          <w:rtl/>
        </w:rPr>
        <w:t xml:space="preserve">חל איסור לחבר רכיבי זיכרון אוגרי מידע כגון: </w:t>
      </w:r>
      <w:r>
        <w:rPr>
          <w:rFonts w:ascii="Arial" w:hAnsi="Arial" w:cs="Arial"/>
        </w:rPr>
        <w:t>Disk On Key, CD, DVD</w:t>
      </w:r>
      <w:r>
        <w:rPr>
          <w:rFonts w:ascii="Arial" w:hAnsi="Arial" w:cs="Arial"/>
          <w:rtl/>
        </w:rPr>
        <w:t>, מחשבי כף יד, טלפונים סלולאריים, מצלמות דיגיטאליות וכדומה למערכות הרשות.</w:t>
      </w:r>
    </w:p>
    <w:p w:rsidR="002A4D2B" w:rsidRDefault="002A4D2B" w:rsidP="002A4D2B">
      <w:pPr>
        <w:pStyle w:val="ListParagraph"/>
        <w:numPr>
          <w:ilvl w:val="0"/>
          <w:numId w:val="5"/>
        </w:numPr>
        <w:autoSpaceDE w:val="0"/>
        <w:autoSpaceDN w:val="0"/>
        <w:ind w:left="368" w:hanging="284"/>
        <w:jc w:val="both"/>
        <w:rPr>
          <w:rFonts w:ascii="Arial" w:hAnsi="Arial" w:cs="Arial"/>
        </w:rPr>
      </w:pPr>
      <w:r>
        <w:rPr>
          <w:rFonts w:ascii="Arial" w:hAnsi="Arial" w:cs="Arial"/>
          <w:rtl/>
        </w:rPr>
        <w:t>על מנת למנוע קבלת מידע במרמה על ידי מתחזים, חל איסור למסור מידע ממערכות הרשות בטלפון, בדוא"ל, באופן פיזי לכל אדם שאינו מזוהה באופן ודאי על ידי העובד ועל פי הנהלים הפנימיים בכל יחידה וכאלו שהופצו באופן גורף על ידי יחידת אבטחת מידע.</w:t>
      </w:r>
    </w:p>
    <w:p w:rsidR="002A4D2B" w:rsidRDefault="002A4D2B" w:rsidP="002A4D2B">
      <w:pPr>
        <w:pStyle w:val="ListParagraph"/>
        <w:numPr>
          <w:ilvl w:val="0"/>
          <w:numId w:val="5"/>
        </w:numPr>
        <w:autoSpaceDE w:val="0"/>
        <w:autoSpaceDN w:val="0"/>
        <w:ind w:left="368" w:hanging="284"/>
        <w:jc w:val="both"/>
        <w:rPr>
          <w:rFonts w:ascii="Arial" w:hAnsi="Arial" w:cs="Arial"/>
          <w:rtl/>
        </w:rPr>
      </w:pPr>
      <w:r>
        <w:rPr>
          <w:rFonts w:ascii="Arial" w:hAnsi="Arial" w:cs="Arial"/>
          <w:rtl/>
        </w:rPr>
        <w:t>אין לפתוח מיילים מגורם לא מוכר. במקרה של קבלת מייל שכזה, יש לפנות לצוות אבטחת מידע.</w:t>
      </w:r>
    </w:p>
    <w:p w:rsidR="002A4D2B" w:rsidRDefault="002A4D2B" w:rsidP="002A4D2B">
      <w:pPr>
        <w:pStyle w:val="ListParagraph"/>
        <w:numPr>
          <w:ilvl w:val="0"/>
          <w:numId w:val="5"/>
        </w:numPr>
        <w:autoSpaceDE w:val="0"/>
        <w:autoSpaceDN w:val="0"/>
        <w:ind w:left="368" w:hanging="284"/>
        <w:jc w:val="both"/>
        <w:rPr>
          <w:rFonts w:ascii="Arial" w:hAnsi="Arial" w:cs="Arial"/>
          <w:rtl/>
        </w:rPr>
      </w:pPr>
      <w:r>
        <w:rPr>
          <w:rFonts w:ascii="Arial" w:hAnsi="Arial" w:cs="Arial"/>
          <w:rtl/>
        </w:rPr>
        <w:t>גלישה ברשת המנהלתית- חל איסור לגלוש לאתרים באינטרנט שאינם במסגרת תפקידו ו/או אחריותו של המשתמש.</w:t>
      </w:r>
    </w:p>
    <w:p w:rsidR="002A4D2B" w:rsidRDefault="002A4D2B" w:rsidP="002A4D2B">
      <w:pPr>
        <w:autoSpaceDE w:val="0"/>
        <w:autoSpaceDN w:val="0"/>
        <w:ind w:left="84"/>
        <w:jc w:val="both"/>
        <w:rPr>
          <w:rFonts w:ascii="Arial" w:hAnsi="Arial" w:cs="Arial"/>
        </w:rPr>
      </w:pPr>
      <w:r>
        <w:rPr>
          <w:rFonts w:ascii="Arial" w:hAnsi="Arial" w:cs="Arial"/>
          <w:rtl/>
        </w:rPr>
        <w:t xml:space="preserve">בכל מקרה של חשש אירוע אבטחת מידע יש לדווח מיד לצוות אבטחת מידע – </w:t>
      </w:r>
      <w:hyperlink r:id="rId6" w:history="1">
        <w:r>
          <w:rPr>
            <w:rStyle w:val="Hyperlink"/>
            <w:rFonts w:ascii="Arial" w:hAnsi="Arial" w:cs="Arial"/>
          </w:rPr>
          <w:t>infosec@piba.gov.il</w:t>
        </w:r>
      </w:hyperlink>
    </w:p>
    <w:p w:rsidR="00DA31E2" w:rsidRPr="002A4D2B" w:rsidRDefault="00DA31E2" w:rsidP="00DA31E2">
      <w:pPr>
        <w:autoSpaceDE w:val="0"/>
        <w:autoSpaceDN w:val="0"/>
        <w:jc w:val="both"/>
        <w:rPr>
          <w:rFonts w:asciiTheme="minorBidi" w:hAnsiTheme="minorBidi" w:cstheme="minorBidi" w:hint="cs"/>
          <w:rtl/>
        </w:rPr>
      </w:pPr>
      <w:bookmarkStart w:id="0" w:name="_GoBack"/>
      <w:bookmarkEnd w:id="0"/>
    </w:p>
    <w:tbl>
      <w:tblPr>
        <w:tblStyle w:val="TableGrid"/>
        <w:bidiVisual/>
        <w:tblW w:w="0" w:type="auto"/>
        <w:tblInd w:w="368" w:type="dxa"/>
        <w:tblLook w:val="04A0" w:firstRow="1" w:lastRow="0" w:firstColumn="1" w:lastColumn="0" w:noHBand="0" w:noVBand="1"/>
      </w:tblPr>
      <w:tblGrid>
        <w:gridCol w:w="8154"/>
      </w:tblGrid>
      <w:tr w:rsidR="00DA31E2" w:rsidRPr="00DA31E2" w:rsidTr="00DA31E2">
        <w:tc>
          <w:tcPr>
            <w:tcW w:w="8522" w:type="dxa"/>
          </w:tcPr>
          <w:p w:rsidR="00DA31E2" w:rsidRPr="00DA31E2" w:rsidRDefault="00DA31E2" w:rsidP="004547E2">
            <w:pPr>
              <w:autoSpaceDE w:val="0"/>
              <w:autoSpaceDN w:val="0"/>
              <w:jc w:val="center"/>
              <w:rPr>
                <w:rFonts w:asciiTheme="minorBidi" w:hAnsiTheme="minorBidi" w:cstheme="minorBidi"/>
                <w:sz w:val="24"/>
                <w:szCs w:val="24"/>
                <w:u w:val="single"/>
                <w:rtl/>
              </w:rPr>
            </w:pPr>
            <w:r w:rsidRPr="00DA31E2">
              <w:rPr>
                <w:rFonts w:asciiTheme="minorBidi" w:hAnsiTheme="minorBidi" w:cstheme="minorBidi"/>
                <w:sz w:val="24"/>
                <w:szCs w:val="24"/>
                <w:u w:val="single"/>
                <w:rtl/>
              </w:rPr>
              <w:t>לידיעתך:</w:t>
            </w:r>
          </w:p>
          <w:p w:rsidR="00DA31E2" w:rsidRPr="00DA31E2" w:rsidRDefault="00DA31E2" w:rsidP="005B3330">
            <w:pPr>
              <w:autoSpaceDE w:val="0"/>
              <w:autoSpaceDN w:val="0"/>
              <w:jc w:val="both"/>
              <w:rPr>
                <w:rFonts w:asciiTheme="minorBidi" w:hAnsiTheme="minorBidi" w:cstheme="minorBidi"/>
                <w:b/>
                <w:bCs/>
                <w:sz w:val="24"/>
                <w:szCs w:val="24"/>
                <w:rtl/>
              </w:rPr>
            </w:pPr>
          </w:p>
          <w:p w:rsidR="00592409" w:rsidRDefault="00592409" w:rsidP="005B3330">
            <w:pPr>
              <w:autoSpaceDE w:val="0"/>
              <w:autoSpaceDN w:val="0"/>
              <w:jc w:val="both"/>
              <w:rPr>
                <w:rFonts w:asciiTheme="minorBidi" w:hAnsiTheme="minorBidi" w:cstheme="minorBidi"/>
                <w:b/>
                <w:bCs/>
                <w:sz w:val="24"/>
                <w:szCs w:val="24"/>
                <w:rtl/>
              </w:rPr>
            </w:pPr>
            <w:r>
              <w:rPr>
                <w:rFonts w:asciiTheme="minorBidi" w:hAnsiTheme="minorBidi" w:cstheme="minorBidi" w:hint="cs"/>
                <w:b/>
                <w:bCs/>
                <w:sz w:val="24"/>
                <w:szCs w:val="24"/>
                <w:rtl/>
              </w:rPr>
              <w:t>רשות האוכלוסין וההגירה מבצעת בקרה, ניטור והקלטה של מערכות המחשוב ופעולות המשתמשים במערכות אלו לצורכי שמירה על כללי ונהלי אבטחת מידע.</w:t>
            </w:r>
          </w:p>
          <w:p w:rsidR="005B3330" w:rsidRDefault="005B3330" w:rsidP="005B3330">
            <w:pPr>
              <w:autoSpaceDE w:val="0"/>
              <w:autoSpaceDN w:val="0"/>
              <w:jc w:val="both"/>
              <w:rPr>
                <w:rFonts w:asciiTheme="minorBidi" w:hAnsiTheme="minorBidi" w:cstheme="minorBidi"/>
                <w:b/>
                <w:bCs/>
                <w:sz w:val="24"/>
                <w:szCs w:val="24"/>
                <w:rtl/>
              </w:rPr>
            </w:pPr>
          </w:p>
          <w:p w:rsidR="005B3330" w:rsidRDefault="005B3330" w:rsidP="005B3330">
            <w:pPr>
              <w:autoSpaceDE w:val="0"/>
              <w:autoSpaceDN w:val="0"/>
              <w:jc w:val="both"/>
              <w:rPr>
                <w:rFonts w:asciiTheme="minorBidi" w:hAnsiTheme="minorBidi" w:cstheme="minorBidi"/>
                <w:b/>
                <w:bCs/>
                <w:sz w:val="24"/>
                <w:szCs w:val="24"/>
                <w:rtl/>
              </w:rPr>
            </w:pPr>
            <w:r>
              <w:rPr>
                <w:rFonts w:asciiTheme="minorBidi" w:hAnsiTheme="minorBidi" w:cstheme="minorBidi" w:hint="cs"/>
                <w:b/>
                <w:bCs/>
                <w:sz w:val="24"/>
                <w:szCs w:val="24"/>
                <w:rtl/>
              </w:rPr>
              <w:t>כל זיהוי של הפרת נהלים או הנ</w:t>
            </w:r>
            <w:r w:rsidR="00592409">
              <w:rPr>
                <w:rFonts w:asciiTheme="minorBidi" w:hAnsiTheme="minorBidi" w:cstheme="minorBidi" w:hint="cs"/>
                <w:b/>
                <w:bCs/>
                <w:sz w:val="24"/>
                <w:szCs w:val="24"/>
                <w:rtl/>
              </w:rPr>
              <w:t xml:space="preserve">חיות </w:t>
            </w:r>
            <w:r w:rsidR="006A2FBE">
              <w:rPr>
                <w:rFonts w:asciiTheme="minorBidi" w:hAnsiTheme="minorBidi" w:cstheme="minorBidi" w:hint="cs"/>
                <w:b/>
                <w:bCs/>
                <w:sz w:val="24"/>
                <w:szCs w:val="24"/>
                <w:rtl/>
              </w:rPr>
              <w:t>יטופל באופן משמע</w:t>
            </w:r>
            <w:r>
              <w:rPr>
                <w:rFonts w:asciiTheme="minorBidi" w:hAnsiTheme="minorBidi" w:cstheme="minorBidi" w:hint="cs"/>
                <w:b/>
                <w:bCs/>
                <w:sz w:val="24"/>
                <w:szCs w:val="24"/>
                <w:rtl/>
              </w:rPr>
              <w:t>תי.</w:t>
            </w:r>
          </w:p>
          <w:p w:rsidR="00F6024F" w:rsidRPr="00F6024F" w:rsidRDefault="00F6024F" w:rsidP="005B3330">
            <w:pPr>
              <w:autoSpaceDE w:val="0"/>
              <w:autoSpaceDN w:val="0"/>
              <w:jc w:val="both"/>
              <w:rPr>
                <w:rFonts w:asciiTheme="minorBidi" w:hAnsiTheme="minorBidi" w:cstheme="minorBidi"/>
                <w:b/>
                <w:bCs/>
                <w:sz w:val="24"/>
                <w:szCs w:val="24"/>
                <w:rtl/>
              </w:rPr>
            </w:pPr>
          </w:p>
        </w:tc>
      </w:tr>
    </w:tbl>
    <w:p w:rsidR="00213902" w:rsidRPr="00DA31E2" w:rsidRDefault="00213902" w:rsidP="00213902">
      <w:pPr>
        <w:autoSpaceDE w:val="0"/>
        <w:autoSpaceDN w:val="0"/>
        <w:rPr>
          <w:rFonts w:asciiTheme="minorBidi" w:hAnsiTheme="minorBidi" w:cstheme="minorBidi"/>
          <w:rtl/>
        </w:rPr>
      </w:pPr>
    </w:p>
    <w:p w:rsidR="00E31440" w:rsidRPr="00DA31E2" w:rsidRDefault="00E31440" w:rsidP="00213902">
      <w:pPr>
        <w:autoSpaceDE w:val="0"/>
        <w:autoSpaceDN w:val="0"/>
        <w:rPr>
          <w:rFonts w:asciiTheme="minorBidi" w:hAnsiTheme="minorBidi" w:cstheme="minorBidi"/>
          <w:rtl/>
        </w:rPr>
      </w:pPr>
    </w:p>
    <w:p w:rsidR="00FB1E2B" w:rsidRPr="00DA31E2" w:rsidRDefault="00FB1E2B" w:rsidP="00213902">
      <w:pPr>
        <w:autoSpaceDE w:val="0"/>
        <w:autoSpaceDN w:val="0"/>
        <w:rPr>
          <w:rFonts w:asciiTheme="minorBidi" w:hAnsiTheme="minorBidi" w:cstheme="minorBidi"/>
          <w:rtl/>
        </w:rPr>
      </w:pPr>
    </w:p>
    <w:p w:rsidR="00213902" w:rsidRPr="00DA31E2" w:rsidRDefault="00213902" w:rsidP="00213902">
      <w:pPr>
        <w:autoSpaceDE w:val="0"/>
        <w:autoSpaceDN w:val="0"/>
        <w:rPr>
          <w:rFonts w:asciiTheme="minorBidi" w:hAnsiTheme="minorBidi" w:cstheme="minorBidi"/>
          <w:rtl/>
        </w:rPr>
      </w:pPr>
      <w:r w:rsidRPr="00DA31E2">
        <w:rPr>
          <w:rFonts w:asciiTheme="minorBidi" w:hAnsiTheme="minorBidi" w:cstheme="minorBidi"/>
          <w:rtl/>
        </w:rPr>
        <w:t>לאחר</w:t>
      </w:r>
      <w:r w:rsidRPr="00DA31E2">
        <w:rPr>
          <w:rFonts w:asciiTheme="minorBidi" w:hAnsiTheme="minorBidi" w:cstheme="minorBidi"/>
        </w:rPr>
        <w:t xml:space="preserve"> </w:t>
      </w:r>
      <w:r w:rsidRPr="00DA31E2">
        <w:rPr>
          <w:rFonts w:asciiTheme="minorBidi" w:hAnsiTheme="minorBidi" w:cstheme="minorBidi"/>
          <w:rtl/>
        </w:rPr>
        <w:t>שקראתי</w:t>
      </w:r>
      <w:r w:rsidRPr="00DA31E2">
        <w:rPr>
          <w:rFonts w:asciiTheme="minorBidi" w:hAnsiTheme="minorBidi" w:cstheme="minorBidi"/>
        </w:rPr>
        <w:t xml:space="preserve"> </w:t>
      </w:r>
      <w:r w:rsidRPr="00DA31E2">
        <w:rPr>
          <w:rFonts w:asciiTheme="minorBidi" w:hAnsiTheme="minorBidi" w:cstheme="minorBidi"/>
          <w:rtl/>
        </w:rPr>
        <w:t>והבנתי</w:t>
      </w:r>
      <w:r w:rsidRPr="00DA31E2">
        <w:rPr>
          <w:rFonts w:asciiTheme="minorBidi" w:hAnsiTheme="minorBidi" w:cstheme="minorBidi"/>
        </w:rPr>
        <w:t xml:space="preserve"> </w:t>
      </w:r>
      <w:r w:rsidRPr="00DA31E2">
        <w:rPr>
          <w:rFonts w:asciiTheme="minorBidi" w:hAnsiTheme="minorBidi" w:cstheme="minorBidi"/>
          <w:rtl/>
        </w:rPr>
        <w:t>את</w:t>
      </w:r>
      <w:r w:rsidRPr="00DA31E2">
        <w:rPr>
          <w:rFonts w:asciiTheme="minorBidi" w:hAnsiTheme="minorBidi" w:cstheme="minorBidi"/>
        </w:rPr>
        <w:t xml:space="preserve"> </w:t>
      </w:r>
      <w:r w:rsidRPr="00DA31E2">
        <w:rPr>
          <w:rFonts w:asciiTheme="minorBidi" w:hAnsiTheme="minorBidi" w:cstheme="minorBidi"/>
          <w:rtl/>
        </w:rPr>
        <w:t>התדרוך</w:t>
      </w:r>
      <w:r w:rsidRPr="00DA31E2">
        <w:rPr>
          <w:rFonts w:asciiTheme="minorBidi" w:hAnsiTheme="minorBidi" w:cstheme="minorBidi"/>
        </w:rPr>
        <w:t xml:space="preserve"> </w:t>
      </w:r>
      <w:r w:rsidRPr="00DA31E2">
        <w:rPr>
          <w:rFonts w:asciiTheme="minorBidi" w:hAnsiTheme="minorBidi" w:cstheme="minorBidi"/>
          <w:rtl/>
        </w:rPr>
        <w:t>הנ</w:t>
      </w:r>
      <w:r w:rsidRPr="00DA31E2">
        <w:rPr>
          <w:rFonts w:asciiTheme="minorBidi" w:hAnsiTheme="minorBidi" w:cstheme="minorBidi"/>
        </w:rPr>
        <w:t>"</w:t>
      </w:r>
      <w:r w:rsidRPr="00DA31E2">
        <w:rPr>
          <w:rFonts w:asciiTheme="minorBidi" w:hAnsiTheme="minorBidi" w:cstheme="minorBidi"/>
          <w:rtl/>
        </w:rPr>
        <w:t>ל, אני</w:t>
      </w:r>
      <w:r w:rsidRPr="00DA31E2">
        <w:rPr>
          <w:rFonts w:asciiTheme="minorBidi" w:hAnsiTheme="minorBidi" w:cstheme="minorBidi"/>
        </w:rPr>
        <w:t xml:space="preserve"> </w:t>
      </w:r>
      <w:r w:rsidRPr="00DA31E2">
        <w:rPr>
          <w:rFonts w:asciiTheme="minorBidi" w:hAnsiTheme="minorBidi" w:cstheme="minorBidi"/>
          <w:rtl/>
        </w:rPr>
        <w:t>מתחיי</w:t>
      </w:r>
      <w:r w:rsidR="00242B32" w:rsidRPr="00DA31E2">
        <w:rPr>
          <w:rFonts w:asciiTheme="minorBidi" w:hAnsiTheme="minorBidi" w:cstheme="minorBidi"/>
          <w:rtl/>
        </w:rPr>
        <w:t>ב</w:t>
      </w:r>
      <w:r w:rsidRPr="00DA31E2">
        <w:rPr>
          <w:rFonts w:asciiTheme="minorBidi" w:hAnsiTheme="minorBidi" w:cstheme="minorBidi"/>
          <w:rtl/>
        </w:rPr>
        <w:t xml:space="preserve">/ת </w:t>
      </w:r>
      <w:r w:rsidRPr="00DA31E2">
        <w:rPr>
          <w:rFonts w:asciiTheme="minorBidi" w:hAnsiTheme="minorBidi" w:cstheme="minorBidi"/>
        </w:rPr>
        <w:t xml:space="preserve"> </w:t>
      </w:r>
      <w:r w:rsidRPr="00DA31E2">
        <w:rPr>
          <w:rFonts w:asciiTheme="minorBidi" w:hAnsiTheme="minorBidi" w:cstheme="minorBidi"/>
          <w:rtl/>
        </w:rPr>
        <w:t>לפעול</w:t>
      </w:r>
      <w:r w:rsidRPr="00DA31E2">
        <w:rPr>
          <w:rFonts w:asciiTheme="minorBidi" w:hAnsiTheme="minorBidi" w:cstheme="minorBidi"/>
        </w:rPr>
        <w:t xml:space="preserve"> </w:t>
      </w:r>
      <w:r w:rsidRPr="00DA31E2">
        <w:rPr>
          <w:rFonts w:asciiTheme="minorBidi" w:hAnsiTheme="minorBidi" w:cstheme="minorBidi"/>
          <w:rtl/>
        </w:rPr>
        <w:t>על</w:t>
      </w:r>
      <w:r w:rsidRPr="00DA31E2">
        <w:rPr>
          <w:rFonts w:asciiTheme="minorBidi" w:hAnsiTheme="minorBidi" w:cstheme="minorBidi"/>
        </w:rPr>
        <w:t xml:space="preserve"> </w:t>
      </w:r>
      <w:r w:rsidRPr="00DA31E2">
        <w:rPr>
          <w:rFonts w:asciiTheme="minorBidi" w:hAnsiTheme="minorBidi" w:cstheme="minorBidi"/>
          <w:rtl/>
        </w:rPr>
        <w:t>פי</w:t>
      </w:r>
      <w:r w:rsidRPr="00DA31E2">
        <w:rPr>
          <w:rFonts w:asciiTheme="minorBidi" w:hAnsiTheme="minorBidi" w:cstheme="minorBidi"/>
        </w:rPr>
        <w:t xml:space="preserve"> </w:t>
      </w:r>
      <w:r w:rsidRPr="00DA31E2">
        <w:rPr>
          <w:rFonts w:asciiTheme="minorBidi" w:hAnsiTheme="minorBidi" w:cstheme="minorBidi"/>
          <w:rtl/>
        </w:rPr>
        <w:t>הכתוב</w:t>
      </w:r>
      <w:r w:rsidRPr="00DA31E2">
        <w:rPr>
          <w:rFonts w:asciiTheme="minorBidi" w:hAnsiTheme="minorBidi" w:cstheme="minorBidi"/>
        </w:rPr>
        <w:t xml:space="preserve"> </w:t>
      </w:r>
      <w:r w:rsidRPr="00DA31E2">
        <w:rPr>
          <w:rFonts w:asciiTheme="minorBidi" w:hAnsiTheme="minorBidi" w:cstheme="minorBidi"/>
          <w:rtl/>
        </w:rPr>
        <w:t>לעיל</w:t>
      </w:r>
      <w:r w:rsidRPr="00DA31E2">
        <w:rPr>
          <w:rFonts w:asciiTheme="minorBidi" w:hAnsiTheme="minorBidi" w:cstheme="minorBidi"/>
        </w:rPr>
        <w:t xml:space="preserve"> </w:t>
      </w:r>
      <w:r w:rsidRPr="00DA31E2">
        <w:rPr>
          <w:rFonts w:asciiTheme="minorBidi" w:hAnsiTheme="minorBidi" w:cstheme="minorBidi"/>
          <w:rtl/>
        </w:rPr>
        <w:t>ולשמור</w:t>
      </w:r>
      <w:r w:rsidRPr="00DA31E2">
        <w:rPr>
          <w:rFonts w:asciiTheme="minorBidi" w:hAnsiTheme="minorBidi" w:cstheme="minorBidi"/>
        </w:rPr>
        <w:t xml:space="preserve"> </w:t>
      </w:r>
      <w:r w:rsidRPr="00DA31E2">
        <w:rPr>
          <w:rFonts w:asciiTheme="minorBidi" w:hAnsiTheme="minorBidi" w:cstheme="minorBidi"/>
          <w:rtl/>
        </w:rPr>
        <w:t>על</w:t>
      </w:r>
      <w:r w:rsidRPr="00DA31E2">
        <w:rPr>
          <w:rFonts w:asciiTheme="minorBidi" w:hAnsiTheme="minorBidi" w:cstheme="minorBidi"/>
        </w:rPr>
        <w:t xml:space="preserve"> </w:t>
      </w:r>
      <w:r w:rsidRPr="00DA31E2">
        <w:rPr>
          <w:rFonts w:asciiTheme="minorBidi" w:hAnsiTheme="minorBidi" w:cstheme="minorBidi"/>
          <w:rtl/>
        </w:rPr>
        <w:t>נהלי</w:t>
      </w:r>
      <w:r w:rsidRPr="00DA31E2">
        <w:rPr>
          <w:rFonts w:asciiTheme="minorBidi" w:hAnsiTheme="minorBidi" w:cstheme="minorBidi"/>
        </w:rPr>
        <w:t xml:space="preserve"> </w:t>
      </w:r>
      <w:r w:rsidRPr="00DA31E2">
        <w:rPr>
          <w:rFonts w:asciiTheme="minorBidi" w:hAnsiTheme="minorBidi" w:cstheme="minorBidi"/>
          <w:rtl/>
        </w:rPr>
        <w:t>והנחיות אבטחת המידע</w:t>
      </w:r>
      <w:r w:rsidRPr="00DA31E2">
        <w:rPr>
          <w:rFonts w:asciiTheme="minorBidi" w:hAnsiTheme="minorBidi" w:cstheme="minorBidi"/>
        </w:rPr>
        <w:t>.</w:t>
      </w:r>
    </w:p>
    <w:p w:rsidR="00213902" w:rsidRPr="00DA31E2" w:rsidRDefault="00213902" w:rsidP="00213902">
      <w:pPr>
        <w:autoSpaceDE w:val="0"/>
        <w:autoSpaceDN w:val="0"/>
        <w:rPr>
          <w:rFonts w:asciiTheme="minorBidi" w:hAnsiTheme="minorBidi" w:cstheme="minorBidi"/>
          <w:rtl/>
        </w:rPr>
      </w:pPr>
    </w:p>
    <w:p w:rsidR="009210D0" w:rsidRDefault="009210D0">
      <w:pPr>
        <w:rPr>
          <w:rFonts w:asciiTheme="minorBidi" w:hAnsiTheme="minorBidi" w:cstheme="minorBidi"/>
          <w:rtl/>
        </w:rPr>
      </w:pPr>
    </w:p>
    <w:tbl>
      <w:tblPr>
        <w:tblStyle w:val="TableGrid"/>
        <w:tblpPr w:leftFromText="180" w:rightFromText="180" w:vertAnchor="text" w:horzAnchor="page" w:tblpX="8620" w:tblpY="-76"/>
        <w:bidiVisual/>
        <w:tblW w:w="0" w:type="auto"/>
        <w:tblLook w:val="04A0" w:firstRow="1" w:lastRow="0" w:firstColumn="1" w:lastColumn="0" w:noHBand="0" w:noVBand="1"/>
      </w:tblPr>
      <w:tblGrid>
        <w:gridCol w:w="363"/>
      </w:tblGrid>
      <w:tr w:rsidR="007C2785" w:rsidTr="007C2785">
        <w:trPr>
          <w:trHeight w:val="405"/>
        </w:trPr>
        <w:tc>
          <w:tcPr>
            <w:tcW w:w="345" w:type="dxa"/>
          </w:tcPr>
          <w:p w:rsidR="007C2785" w:rsidRDefault="007C2785" w:rsidP="007C2785">
            <w:pPr>
              <w:rPr>
                <w:rFonts w:asciiTheme="minorBidi" w:hAnsiTheme="minorBidi" w:cstheme="minorBidi"/>
                <w:rtl/>
              </w:rPr>
            </w:pPr>
            <w:r>
              <w:rPr>
                <w:rFonts w:asciiTheme="minorBidi" w:hAnsiTheme="minorBidi" w:cstheme="minorBidi"/>
              </w:rPr>
              <w:t>V</w:t>
            </w:r>
          </w:p>
        </w:tc>
      </w:tr>
    </w:tbl>
    <w:p w:rsidR="00DA31E2" w:rsidRPr="00DA31E2" w:rsidRDefault="00DA31E2" w:rsidP="007C2785">
      <w:pPr>
        <w:rPr>
          <w:rFonts w:asciiTheme="minorBidi" w:hAnsiTheme="minorBidi" w:cstheme="minorBidi"/>
        </w:rPr>
      </w:pPr>
      <w:r>
        <w:rPr>
          <w:rFonts w:asciiTheme="minorBidi" w:hAnsiTheme="minorBidi" w:cstheme="minorBidi" w:hint="cs"/>
          <w:rtl/>
        </w:rPr>
        <w:t xml:space="preserve">אישור: </w:t>
      </w:r>
    </w:p>
    <w:sectPr w:rsidR="00DA31E2" w:rsidRPr="00DA31E2" w:rsidSect="005278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5BC"/>
    <w:multiLevelType w:val="hybridMultilevel"/>
    <w:tmpl w:val="BBA685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5469E"/>
    <w:multiLevelType w:val="hybridMultilevel"/>
    <w:tmpl w:val="AA6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560F3"/>
    <w:multiLevelType w:val="hybridMultilevel"/>
    <w:tmpl w:val="34CCC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02"/>
    <w:rsid w:val="00111556"/>
    <w:rsid w:val="00213902"/>
    <w:rsid w:val="00242B32"/>
    <w:rsid w:val="002674DB"/>
    <w:rsid w:val="002A4D2B"/>
    <w:rsid w:val="00330585"/>
    <w:rsid w:val="004547E2"/>
    <w:rsid w:val="0052788A"/>
    <w:rsid w:val="00592409"/>
    <w:rsid w:val="005B3330"/>
    <w:rsid w:val="006A2FBE"/>
    <w:rsid w:val="007C2785"/>
    <w:rsid w:val="009210D0"/>
    <w:rsid w:val="00C845E7"/>
    <w:rsid w:val="00DA31E2"/>
    <w:rsid w:val="00E31440"/>
    <w:rsid w:val="00F6024F"/>
    <w:rsid w:val="00FB1E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02"/>
    <w:pPr>
      <w:bidi/>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902"/>
    <w:pPr>
      <w:spacing w:after="200" w:line="276" w:lineRule="auto"/>
      <w:ind w:left="720"/>
      <w:contextualSpacing/>
    </w:pPr>
  </w:style>
  <w:style w:type="character" w:styleId="Hyperlink">
    <w:name w:val="Hyperlink"/>
    <w:basedOn w:val="DefaultParagraphFont"/>
    <w:uiPriority w:val="99"/>
    <w:unhideWhenUsed/>
    <w:rsid w:val="00C845E7"/>
    <w:rPr>
      <w:color w:val="0000FF" w:themeColor="hyperlink"/>
      <w:u w:val="single"/>
    </w:rPr>
  </w:style>
  <w:style w:type="table" w:styleId="TableGrid">
    <w:name w:val="Table Grid"/>
    <w:basedOn w:val="TableNormal"/>
    <w:uiPriority w:val="59"/>
    <w:rsid w:val="00DA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02"/>
    <w:pPr>
      <w:bidi/>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902"/>
    <w:pPr>
      <w:spacing w:after="200" w:line="276" w:lineRule="auto"/>
      <w:ind w:left="720"/>
      <w:contextualSpacing/>
    </w:pPr>
  </w:style>
  <w:style w:type="character" w:styleId="Hyperlink">
    <w:name w:val="Hyperlink"/>
    <w:basedOn w:val="DefaultParagraphFont"/>
    <w:uiPriority w:val="99"/>
    <w:unhideWhenUsed/>
    <w:rsid w:val="00C845E7"/>
    <w:rPr>
      <w:color w:val="0000FF" w:themeColor="hyperlink"/>
      <w:u w:val="single"/>
    </w:rPr>
  </w:style>
  <w:style w:type="table" w:styleId="TableGrid">
    <w:name w:val="Table Grid"/>
    <w:basedOn w:val="TableNormal"/>
    <w:uiPriority w:val="59"/>
    <w:rsid w:val="00DA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1057">
      <w:bodyDiv w:val="1"/>
      <w:marLeft w:val="0"/>
      <w:marRight w:val="0"/>
      <w:marTop w:val="0"/>
      <w:marBottom w:val="0"/>
      <w:divBdr>
        <w:top w:val="none" w:sz="0" w:space="0" w:color="auto"/>
        <w:left w:val="none" w:sz="0" w:space="0" w:color="auto"/>
        <w:bottom w:val="none" w:sz="0" w:space="0" w:color="auto"/>
        <w:right w:val="none" w:sz="0" w:space="0" w:color="auto"/>
      </w:divBdr>
    </w:div>
    <w:div w:id="8689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c@piba.gov.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1424</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יפית גלפז</dc:creator>
  <cp:lastModifiedBy>noam hadad</cp:lastModifiedBy>
  <cp:revision>2</cp:revision>
  <dcterms:created xsi:type="dcterms:W3CDTF">2020-01-26T15:28:00Z</dcterms:created>
  <dcterms:modified xsi:type="dcterms:W3CDTF">2020-01-26T15:28:00Z</dcterms:modified>
</cp:coreProperties>
</file>