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2025" w14:textId="77777777" w:rsidR="004860F4" w:rsidRDefault="004860F4" w:rsidP="004860F4">
      <w:pPr>
        <w:bidi/>
        <w:rPr>
          <w:rFonts w:asciiTheme="minorHAnsi" w:hAnsiTheme="minorHAnsi" w:cstheme="minorBidi"/>
          <w:lang w:eastAsia="en-US"/>
        </w:rPr>
      </w:pPr>
    </w:p>
    <w:p w14:paraId="2C9A35FC" w14:textId="77777777" w:rsidR="004860F4" w:rsidRDefault="004860F4" w:rsidP="004860F4">
      <w:pPr>
        <w:bidi/>
        <w:rPr>
          <w:rFonts w:asciiTheme="minorHAnsi" w:hAnsiTheme="minorHAnsi" w:cstheme="minorBidi"/>
          <w:lang w:eastAsia="en-US"/>
        </w:rPr>
      </w:pPr>
    </w:p>
    <w:p w14:paraId="3315D8D8" w14:textId="77777777" w:rsidR="004860F4" w:rsidRDefault="004860F4" w:rsidP="004860F4">
      <w:pPr>
        <w:rPr>
          <w:rFonts w:eastAsia="Times New Roman"/>
        </w:rPr>
      </w:pPr>
      <w:r>
        <w:rPr>
          <w:rFonts w:eastAsia="Times New Roman"/>
          <w:b/>
          <w:bCs/>
        </w:rPr>
        <w:t>From:</w:t>
      </w:r>
      <w:r>
        <w:rPr>
          <w:rFonts w:eastAsia="Times New Roman"/>
        </w:rPr>
        <w:t xml:space="preserve"> </w:t>
      </w:r>
      <w:r>
        <w:rPr>
          <w:rFonts w:eastAsia="Times New Roman" w:hint="cs"/>
          <w:rtl/>
        </w:rPr>
        <w:t>רכש קורונה משרד הבריאות</w:t>
      </w:r>
      <w:r>
        <w:rPr>
          <w:rFonts w:eastAsia="Times New Roman"/>
          <w:rtl/>
        </w:rPr>
        <w:t xml:space="preserve"> </w:t>
      </w:r>
      <w:r>
        <w:rPr>
          <w:rFonts w:eastAsia="Times New Roman"/>
        </w:rPr>
        <w:t xml:space="preserve">&lt;cov19ppld@MOH.GOV.IL&gt; </w:t>
      </w:r>
      <w:r>
        <w:rPr>
          <w:rFonts w:eastAsia="Times New Roman"/>
        </w:rPr>
        <w:br/>
      </w:r>
      <w:r>
        <w:rPr>
          <w:rFonts w:eastAsia="Times New Roman"/>
          <w:b/>
          <w:bCs/>
        </w:rPr>
        <w:t>Sent:</w:t>
      </w:r>
      <w:r>
        <w:rPr>
          <w:rFonts w:eastAsia="Times New Roman"/>
        </w:rPr>
        <w:t xml:space="preserve"> Thursday, March 24, </w:t>
      </w:r>
      <w:proofErr w:type="gramStart"/>
      <w:r>
        <w:rPr>
          <w:rFonts w:eastAsia="Times New Roman"/>
        </w:rPr>
        <w:t>2022</w:t>
      </w:r>
      <w:proofErr w:type="gramEnd"/>
      <w:r>
        <w:rPr>
          <w:rFonts w:eastAsia="Times New Roman"/>
        </w:rPr>
        <w:t xml:space="preserve"> 9:04 AM</w:t>
      </w:r>
      <w:r>
        <w:rPr>
          <w:rFonts w:eastAsia="Times New Roman"/>
        </w:rPr>
        <w:br/>
      </w:r>
      <w:r>
        <w:rPr>
          <w:rFonts w:eastAsia="Times New Roman"/>
          <w:b/>
          <w:bCs/>
        </w:rPr>
        <w:t>To:</w:t>
      </w:r>
      <w:r>
        <w:rPr>
          <w:rFonts w:eastAsia="Times New Roman"/>
        </w:rPr>
        <w:t xml:space="preserve"> Elad Man, Advocate &amp; Solicitor</w:t>
      </w:r>
      <w:r>
        <w:rPr>
          <w:rFonts w:eastAsia="Times New Roman" w:hint="cs"/>
          <w:rtl/>
        </w:rPr>
        <w:t>‏</w:t>
      </w:r>
      <w:r>
        <w:rPr>
          <w:rFonts w:eastAsia="Times New Roman"/>
          <w:rtl/>
        </w:rPr>
        <w:t xml:space="preserve"> </w:t>
      </w:r>
      <w:r>
        <w:rPr>
          <w:rFonts w:eastAsia="Times New Roman"/>
        </w:rPr>
        <w:t>&lt;elad@man-barak.com&gt;</w:t>
      </w:r>
      <w:r>
        <w:rPr>
          <w:rFonts w:eastAsia="Times New Roman"/>
        </w:rPr>
        <w:br/>
      </w:r>
      <w:r>
        <w:rPr>
          <w:rFonts w:eastAsia="Times New Roman"/>
          <w:b/>
          <w:bCs/>
        </w:rPr>
        <w:t>Subject:</w:t>
      </w:r>
      <w:r>
        <w:rPr>
          <w:rFonts w:eastAsia="Times New Roman"/>
        </w:rPr>
        <w:t xml:space="preserve"> RE: </w:t>
      </w:r>
      <w:r>
        <w:rPr>
          <w:rFonts w:eastAsia="Times New Roman" w:hint="cs"/>
          <w:rtl/>
        </w:rPr>
        <w:t>בקשת חופש מידע - מכרז לבחירת חברת דיגום קורונה לנכנסים לישראל שהתקיים בחודש האחרון</w:t>
      </w:r>
    </w:p>
    <w:p w14:paraId="682C9734" w14:textId="77777777" w:rsidR="004860F4" w:rsidRDefault="004860F4" w:rsidP="004860F4">
      <w:pPr>
        <w:bidi/>
      </w:pPr>
    </w:p>
    <w:p w14:paraId="11B1A3B3" w14:textId="77777777" w:rsidR="004860F4" w:rsidRDefault="004860F4" w:rsidP="004860F4">
      <w:pPr>
        <w:bidi/>
        <w:spacing w:line="360" w:lineRule="auto"/>
        <w:rPr>
          <w:rFonts w:ascii="Arial" w:hAnsi="Arial" w:cs="Arial"/>
          <w:color w:val="1F497D"/>
          <w:sz w:val="24"/>
          <w:szCs w:val="24"/>
          <w:lang w:val="en-US"/>
        </w:rPr>
      </w:pPr>
      <w:r>
        <w:rPr>
          <w:rFonts w:ascii="Arial" w:hAnsi="Arial" w:cs="Arial"/>
          <w:color w:val="1F497D"/>
          <w:sz w:val="24"/>
          <w:szCs w:val="24"/>
          <w:rtl/>
          <w:lang w:val="en-US"/>
        </w:rPr>
        <w:t>שלום רב,</w:t>
      </w:r>
    </w:p>
    <w:p w14:paraId="66E1BC87" w14:textId="77777777" w:rsidR="004860F4" w:rsidRDefault="004860F4" w:rsidP="004860F4">
      <w:pPr>
        <w:bidi/>
        <w:spacing w:line="360" w:lineRule="auto"/>
        <w:rPr>
          <w:rFonts w:ascii="Arial" w:hAnsi="Arial" w:cs="Arial"/>
          <w:color w:val="1F497D"/>
          <w:sz w:val="24"/>
          <w:szCs w:val="24"/>
          <w:lang w:val="en-US"/>
        </w:rPr>
      </w:pPr>
      <w:r>
        <w:rPr>
          <w:rFonts w:ascii="Arial" w:hAnsi="Arial" w:cs="Arial"/>
          <w:color w:val="1F497D"/>
          <w:sz w:val="24"/>
          <w:szCs w:val="24"/>
          <w:rtl/>
          <w:lang w:val="en-US"/>
        </w:rPr>
        <w:t>רובם המוחלט של מסמכי המכרז פורסמו באתר מנהל הרכש, מצ"ב קישור :</w:t>
      </w:r>
    </w:p>
    <w:p w14:paraId="7D0A7137" w14:textId="77777777" w:rsidR="004860F4" w:rsidRDefault="004860F4" w:rsidP="004860F4">
      <w:pPr>
        <w:bidi/>
        <w:spacing w:line="360" w:lineRule="auto"/>
        <w:rPr>
          <w:rFonts w:ascii="Arial" w:hAnsi="Arial" w:cs="Arial"/>
          <w:color w:val="1F497D"/>
          <w:sz w:val="24"/>
          <w:szCs w:val="24"/>
          <w:lang w:val="en-US"/>
        </w:rPr>
      </w:pPr>
      <w:hyperlink r:id="rId4" w:history="1">
        <w:r>
          <w:rPr>
            <w:rStyle w:val="Hyperlink"/>
            <w:rFonts w:ascii="Arial" w:hAnsi="Arial" w:cs="Arial"/>
            <w:sz w:val="24"/>
            <w:szCs w:val="24"/>
            <w:lang w:val="en-US"/>
          </w:rPr>
          <w:t>https://mr.gov.il/ilgstorefront/he/p/4000546827</w:t>
        </w:r>
      </w:hyperlink>
    </w:p>
    <w:p w14:paraId="14A63395" w14:textId="77777777" w:rsidR="004860F4" w:rsidRDefault="004860F4" w:rsidP="004860F4">
      <w:pPr>
        <w:bidi/>
        <w:spacing w:line="360" w:lineRule="auto"/>
        <w:rPr>
          <w:rFonts w:ascii="Arial" w:hAnsi="Arial" w:cs="Arial"/>
          <w:color w:val="1F497D"/>
          <w:sz w:val="24"/>
          <w:szCs w:val="24"/>
          <w:rtl/>
          <w:lang w:val="en-US"/>
        </w:rPr>
      </w:pPr>
      <w:r>
        <w:rPr>
          <w:rFonts w:ascii="Arial" w:hAnsi="Arial" w:cs="Arial"/>
          <w:color w:val="1F497D"/>
          <w:sz w:val="24"/>
          <w:szCs w:val="24"/>
          <w:rtl/>
          <w:lang w:val="en-US"/>
        </w:rPr>
        <w:t>מצ"ב מסמכי המכרז שלא פורסמו באתר מנהל הרכש.</w:t>
      </w:r>
    </w:p>
    <w:p w14:paraId="4715A47C" w14:textId="77777777" w:rsidR="004860F4" w:rsidRDefault="004860F4" w:rsidP="004860F4">
      <w:pPr>
        <w:bidi/>
        <w:spacing w:line="360" w:lineRule="auto"/>
        <w:rPr>
          <w:rFonts w:ascii="Arial" w:hAnsi="Arial" w:cs="Arial"/>
          <w:color w:val="1F497D"/>
          <w:sz w:val="24"/>
          <w:szCs w:val="24"/>
          <w:rtl/>
          <w:lang w:val="en-US"/>
        </w:rPr>
      </w:pPr>
      <w:r>
        <w:rPr>
          <w:rFonts w:ascii="Arial" w:hAnsi="Arial" w:cs="Arial"/>
          <w:color w:val="1F497D"/>
          <w:sz w:val="24"/>
          <w:szCs w:val="24"/>
          <w:rtl/>
          <w:lang w:val="en-US"/>
        </w:rPr>
        <w:t>בהתאם להוראות סעיף 12 לחוק חופש המידע המובא להלן, נעשתה פנייה למשתתפי המכרז ונמתין להתייחסותם בהתאם :</w:t>
      </w:r>
    </w:p>
    <w:p w14:paraId="2453FC38" w14:textId="77777777" w:rsidR="004860F4" w:rsidRDefault="004860F4" w:rsidP="004860F4">
      <w:pPr>
        <w:pStyle w:val="p00"/>
        <w:bidi/>
        <w:spacing w:before="72" w:beforeAutospacing="0" w:after="0" w:afterAutospacing="0"/>
        <w:ind w:right="1134"/>
        <w:rPr>
          <w:color w:val="000000"/>
          <w:sz w:val="20"/>
          <w:szCs w:val="20"/>
          <w:rtl/>
          <w:lang w:val="en-US"/>
        </w:rPr>
      </w:pPr>
      <w:r>
        <w:rPr>
          <w:rStyle w:val="big-number"/>
          <w:rFonts w:hint="cs"/>
          <w:b/>
          <w:bCs/>
          <w:color w:val="008000"/>
          <w:sz w:val="27"/>
          <w:szCs w:val="27"/>
          <w:rtl/>
          <w:lang w:val="en-US"/>
        </w:rPr>
        <w:t>הגנה על צד שלישי</w:t>
      </w:r>
    </w:p>
    <w:p w14:paraId="44FFBBA6" w14:textId="77777777" w:rsidR="004860F4" w:rsidRDefault="004860F4" w:rsidP="004860F4">
      <w:pPr>
        <w:pStyle w:val="p00"/>
        <w:bidi/>
        <w:spacing w:before="72" w:beforeAutospacing="0" w:after="0" w:afterAutospacing="0"/>
        <w:ind w:right="1134"/>
        <w:jc w:val="both"/>
        <w:rPr>
          <w:rFonts w:hint="cs"/>
          <w:color w:val="000000"/>
          <w:sz w:val="20"/>
          <w:szCs w:val="20"/>
          <w:rtl/>
          <w:lang w:val="en-US"/>
        </w:rPr>
      </w:pPr>
      <w:r>
        <w:rPr>
          <w:rStyle w:val="big-number"/>
          <w:rFonts w:hint="cs"/>
          <w:color w:val="000000"/>
          <w:sz w:val="32"/>
          <w:szCs w:val="32"/>
          <w:rtl/>
          <w:lang w:val="en-US"/>
        </w:rPr>
        <w:t>13.  </w:t>
      </w:r>
      <w:r>
        <w:rPr>
          <w:rStyle w:val="default"/>
          <w:rFonts w:ascii="FrankRuehl" w:hAnsi="FrankRuehl" w:cs="FrankRuehl"/>
          <w:color w:val="000000"/>
          <w:sz w:val="26"/>
          <w:szCs w:val="26"/>
          <w:rtl/>
          <w:lang w:val="en-US"/>
        </w:rPr>
        <w:t xml:space="preserve">(א)  נתבקש מידע הכולל פרטים על אודות צד שלישי, אשר מסירתם עלולה לפגוע בצד השלישי, והרשות הציבורית שוקלת לאפשר למבקש המידע לקבל את המידע, תודיע הרשות לצד השלישי, בכתב, על דבר הגשת הבקשה ועל זכותו להתנגד למסירת המידע ותודיע על כך למבקש; קיבל אדם הודעה כאמור, רשאי הוא להודיע לרשות, בתוך 21 ימים, כי הוא מתנגד לבקשה, בנימוק שאין למסור את המידע, כולו או מקצתו, מכוח הוראות סעיף 9 או הוראות כל דין; 21 הימים האמורים, לא יבואו </w:t>
      </w:r>
      <w:proofErr w:type="spellStart"/>
      <w:r>
        <w:rPr>
          <w:rStyle w:val="default"/>
          <w:rFonts w:ascii="FrankRuehl" w:hAnsi="FrankRuehl" w:cs="FrankRuehl"/>
          <w:color w:val="000000"/>
          <w:sz w:val="26"/>
          <w:szCs w:val="26"/>
          <w:rtl/>
          <w:lang w:val="en-US"/>
        </w:rPr>
        <w:t>במנין</w:t>
      </w:r>
      <w:proofErr w:type="spellEnd"/>
      <w:r>
        <w:rPr>
          <w:rStyle w:val="default"/>
          <w:rFonts w:ascii="FrankRuehl" w:hAnsi="FrankRuehl" w:cs="FrankRuehl"/>
          <w:color w:val="000000"/>
          <w:sz w:val="26"/>
          <w:szCs w:val="26"/>
          <w:rtl/>
          <w:lang w:val="en-US"/>
        </w:rPr>
        <w:t xml:space="preserve"> המועדים המנויים בסעיף 7.</w:t>
      </w:r>
    </w:p>
    <w:p w14:paraId="21CE97D6" w14:textId="77777777" w:rsidR="004860F4" w:rsidRDefault="004860F4" w:rsidP="004860F4">
      <w:pPr>
        <w:pStyle w:val="p00"/>
        <w:bidi/>
        <w:spacing w:before="72" w:beforeAutospacing="0" w:after="0" w:afterAutospacing="0"/>
        <w:ind w:right="1134"/>
        <w:jc w:val="both"/>
        <w:rPr>
          <w:rFonts w:hint="cs"/>
          <w:color w:val="000000"/>
          <w:sz w:val="20"/>
          <w:szCs w:val="20"/>
          <w:rtl/>
          <w:lang w:val="en-US"/>
        </w:rPr>
      </w:pPr>
      <w:r>
        <w:rPr>
          <w:rFonts w:ascii="FrankRuehl" w:hAnsi="FrankRuehl" w:cs="FrankRuehl"/>
          <w:color w:val="000000"/>
          <w:sz w:val="26"/>
          <w:szCs w:val="26"/>
          <w:rtl/>
          <w:lang w:val="en-US"/>
        </w:rPr>
        <w:t>          </w:t>
      </w:r>
      <w:r>
        <w:rPr>
          <w:rStyle w:val="default"/>
          <w:rFonts w:ascii="FrankRuehl" w:hAnsi="FrankRuehl" w:cs="FrankRuehl"/>
          <w:color w:val="000000"/>
          <w:sz w:val="26"/>
          <w:szCs w:val="26"/>
          <w:rtl/>
          <w:lang w:val="en-US"/>
        </w:rPr>
        <w:t>(ב)  החליטה הרשות הציבורית לדחות את התנגדותו של הצד</w:t>
      </w:r>
      <w:r>
        <w:rPr>
          <w:rFonts w:ascii="FrankRuehl" w:hAnsi="FrankRuehl" w:cs="FrankRuehl"/>
          <w:color w:val="000000"/>
          <w:sz w:val="26"/>
          <w:szCs w:val="26"/>
          <w:rtl/>
          <w:lang w:val="en-US"/>
        </w:rPr>
        <w:t> </w:t>
      </w:r>
      <w:r>
        <w:rPr>
          <w:rStyle w:val="default"/>
          <w:rFonts w:ascii="FrankRuehl" w:hAnsi="FrankRuehl" w:cs="FrankRuehl"/>
          <w:color w:val="000000"/>
          <w:sz w:val="26"/>
          <w:szCs w:val="26"/>
          <w:rtl/>
          <w:lang w:val="en-US"/>
        </w:rPr>
        <w:t> השלישי, תמציא לו, בכתב, את החלטתה המנומקת, ותודיע לו על זכותו לעתור נגד החלטתה על פי חוק זה.</w:t>
      </w:r>
    </w:p>
    <w:p w14:paraId="0DA3BFFE" w14:textId="77777777" w:rsidR="004860F4" w:rsidRDefault="004860F4" w:rsidP="004860F4">
      <w:pPr>
        <w:pStyle w:val="p00"/>
        <w:bidi/>
        <w:spacing w:before="72" w:beforeAutospacing="0" w:after="0" w:afterAutospacing="0"/>
        <w:ind w:right="1134"/>
        <w:jc w:val="both"/>
        <w:rPr>
          <w:rFonts w:hint="cs"/>
          <w:color w:val="000000"/>
          <w:sz w:val="20"/>
          <w:szCs w:val="20"/>
          <w:rtl/>
          <w:lang w:val="en-US"/>
        </w:rPr>
      </w:pPr>
      <w:r>
        <w:rPr>
          <w:rFonts w:ascii="FrankRuehl" w:hAnsi="FrankRuehl" w:cs="FrankRuehl"/>
          <w:color w:val="000000"/>
          <w:sz w:val="26"/>
          <w:szCs w:val="26"/>
          <w:rtl/>
          <w:lang w:val="en-US"/>
        </w:rPr>
        <w:t>          </w:t>
      </w:r>
      <w:r>
        <w:rPr>
          <w:rStyle w:val="default"/>
          <w:rFonts w:ascii="FrankRuehl" w:hAnsi="FrankRuehl" w:cs="FrankRuehl"/>
          <w:color w:val="000000"/>
          <w:sz w:val="26"/>
          <w:szCs w:val="26"/>
          <w:rtl/>
          <w:lang w:val="en-US"/>
        </w:rPr>
        <w:t xml:space="preserve">(ג)   על אף האמור בסעיף 7(ב), לא תאפשר הרשות הציבורית את קבלת המידע המבוקש, בטרם חלפה התקופה להגשת העתירה או בטרם הוחלט לדחותה, לפי </w:t>
      </w:r>
      <w:proofErr w:type="spellStart"/>
      <w:r>
        <w:rPr>
          <w:rStyle w:val="default"/>
          <w:rFonts w:ascii="FrankRuehl" w:hAnsi="FrankRuehl" w:cs="FrankRuehl"/>
          <w:color w:val="000000"/>
          <w:sz w:val="26"/>
          <w:szCs w:val="26"/>
          <w:rtl/>
          <w:lang w:val="en-US"/>
        </w:rPr>
        <w:t>הענין</w:t>
      </w:r>
      <w:proofErr w:type="spellEnd"/>
      <w:r>
        <w:rPr>
          <w:rStyle w:val="default"/>
          <w:rFonts w:ascii="FrankRuehl" w:hAnsi="FrankRuehl" w:cs="FrankRuehl"/>
          <w:color w:val="000000"/>
          <w:sz w:val="26"/>
          <w:szCs w:val="26"/>
          <w:rtl/>
          <w:lang w:val="en-US"/>
        </w:rPr>
        <w:t>, אלא אם כן הודיע הצד השלישי שהתנגד, בכתב, כי הוא מוותר על זכותו להגישה.</w:t>
      </w:r>
    </w:p>
    <w:p w14:paraId="5E091F2E" w14:textId="77777777" w:rsidR="004860F4" w:rsidRDefault="004860F4" w:rsidP="004860F4">
      <w:pPr>
        <w:bidi/>
        <w:rPr>
          <w:rFonts w:ascii="Arial" w:hAnsi="Arial" w:cs="Arial"/>
          <w:color w:val="1F497D"/>
          <w:lang w:val="en-US"/>
        </w:rPr>
      </w:pPr>
    </w:p>
    <w:p w14:paraId="1EFE127C" w14:textId="77777777" w:rsidR="004860F4" w:rsidRDefault="004860F4" w:rsidP="004860F4">
      <w:pPr>
        <w:bidi/>
        <w:rPr>
          <w:color w:val="1F497D"/>
          <w:sz w:val="24"/>
          <w:szCs w:val="24"/>
          <w:rtl/>
          <w:lang w:val="en-US"/>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18"/>
        <w:gridCol w:w="1121"/>
        <w:gridCol w:w="115"/>
        <w:gridCol w:w="1840"/>
        <w:gridCol w:w="115"/>
        <w:gridCol w:w="1983"/>
        <w:gridCol w:w="115"/>
        <w:gridCol w:w="2868"/>
        <w:gridCol w:w="115"/>
        <w:gridCol w:w="36"/>
      </w:tblGrid>
      <w:tr w:rsidR="004860F4" w14:paraId="363FC152" w14:textId="77777777" w:rsidTr="004860F4">
        <w:trPr>
          <w:tblCellSpacing w:w="0" w:type="dxa"/>
        </w:trPr>
        <w:tc>
          <w:tcPr>
            <w:tcW w:w="1005" w:type="dxa"/>
            <w:vAlign w:val="center"/>
            <w:hideMark/>
          </w:tcPr>
          <w:p w14:paraId="1417F2AB" w14:textId="77777777" w:rsidR="004860F4" w:rsidRDefault="004860F4">
            <w:pPr>
              <w:rPr>
                <w:rFonts w:ascii="Times New Roman" w:hAnsi="Times New Roman" w:cs="Times New Roman" w:hint="cs"/>
                <w:color w:val="1F497D"/>
                <w:sz w:val="24"/>
                <w:szCs w:val="24"/>
                <w:rtl/>
              </w:rPr>
            </w:pPr>
            <w:r>
              <w:rPr>
                <w:rFonts w:ascii="Times New Roman" w:hAnsi="Times New Roman" w:cs="Times New Roman"/>
                <w:noProof/>
                <w:color w:val="0000FF"/>
                <w:sz w:val="24"/>
                <w:szCs w:val="24"/>
              </w:rPr>
              <w:drawing>
                <wp:inline distT="0" distB="0" distL="0" distR="0" wp14:anchorId="29549DC4" wp14:editId="2E353A7A">
                  <wp:extent cx="466725" cy="657225"/>
                  <wp:effectExtent l="0" t="0" r="9525" b="9525"/>
                  <wp:docPr id="9" name="תמונה 9">
                    <a:hlinkClick xmlns:a="http://schemas.openxmlformats.org/drawingml/2006/main" r:id="rId5"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6">
                            <a:hlinkClick r:id="rId5" tgtFram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tc>
        <w:tc>
          <w:tcPr>
            <w:tcW w:w="450" w:type="dxa"/>
            <w:vAlign w:val="center"/>
            <w:hideMark/>
          </w:tcPr>
          <w:p w14:paraId="75C558DE" w14:textId="77777777" w:rsidR="004860F4" w:rsidRDefault="004860F4">
            <w:pPr>
              <w:rPr>
                <w:rFonts w:ascii="Times New Roman" w:hAnsi="Times New Roman" w:cs="Times New Roman"/>
                <w:color w:val="1F497D"/>
                <w:sz w:val="24"/>
                <w:szCs w:val="24"/>
              </w:rPr>
            </w:pPr>
            <w:r>
              <w:rPr>
                <w:rFonts w:ascii="Times New Roman" w:hAnsi="Times New Roman" w:cs="Times New Roman"/>
                <w:noProof/>
                <w:color w:val="0000FF"/>
                <w:sz w:val="24"/>
                <w:szCs w:val="24"/>
              </w:rPr>
              <w:drawing>
                <wp:inline distT="0" distB="0" distL="0" distR="0" wp14:anchorId="4B111EBB" wp14:editId="6AD4BF8D">
                  <wp:extent cx="742950" cy="619125"/>
                  <wp:effectExtent l="0" t="0" r="0" b="9525"/>
                  <wp:docPr id="8" name="תמונה 8" descr="תמונה שמכילה טקסט, שלט&#10;&#10;התיאור נוצר באופן אוטומטי">
                    <a:hlinkClick xmlns:a="http://schemas.openxmlformats.org/drawingml/2006/main" r:id="rId7"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8" descr="תמונה שמכילה טקסט, שלט&#10;&#10;התיאור נוצר באופן אוטומטי">
                            <a:hlinkClick r:id="rId7" tgtFra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0" w:type="auto"/>
            <w:vAlign w:val="center"/>
            <w:hideMark/>
          </w:tcPr>
          <w:p w14:paraId="2EEF392E" w14:textId="77777777" w:rsidR="004860F4" w:rsidRDefault="004860F4">
            <w:pPr>
              <w:rPr>
                <w:rFonts w:ascii="Times New Roman" w:hAnsi="Times New Roman" w:cs="Times New Roman"/>
                <w:color w:val="1F497D"/>
                <w:sz w:val="24"/>
                <w:szCs w:val="24"/>
                <w:rtl/>
              </w:rPr>
            </w:pPr>
            <w:r>
              <w:rPr>
                <w:rFonts w:ascii="Times New Roman" w:hAnsi="Times New Roman" w:cs="Times New Roman"/>
                <w:noProof/>
                <w:color w:val="0000FF"/>
                <w:sz w:val="24"/>
                <w:szCs w:val="24"/>
              </w:rPr>
              <w:drawing>
                <wp:inline distT="0" distB="0" distL="0" distR="0" wp14:anchorId="7EC57955" wp14:editId="78CCAE7B">
                  <wp:extent cx="66675" cy="857250"/>
                  <wp:effectExtent l="0" t="0" r="9525" b="0"/>
                  <wp:docPr id="7" name="תמונה 7">
                    <a:hlinkClick xmlns:a="http://schemas.openxmlformats.org/drawingml/2006/main" r:id="rId9" invalidUrl="http:///"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5">
                            <a:hlinkClick r:id="rId10" invalidUrl="http:///" tgtFram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857250"/>
                          </a:xfrm>
                          <a:prstGeom prst="rect">
                            <a:avLst/>
                          </a:prstGeom>
                          <a:noFill/>
                          <a:ln>
                            <a:noFill/>
                          </a:ln>
                        </pic:spPr>
                      </pic:pic>
                    </a:graphicData>
                  </a:graphic>
                </wp:inline>
              </w:drawing>
            </w:r>
          </w:p>
        </w:tc>
        <w:tc>
          <w:tcPr>
            <w:tcW w:w="45" w:type="dxa"/>
            <w:vAlign w:val="center"/>
            <w:hideMark/>
          </w:tcPr>
          <w:p w14:paraId="2A716F5B" w14:textId="77777777" w:rsidR="004860F4" w:rsidRDefault="004860F4">
            <w:pPr>
              <w:rPr>
                <w:rFonts w:ascii="Times New Roman" w:hAnsi="Times New Roman" w:cs="Times New Roman"/>
                <w:color w:val="1F497D"/>
                <w:sz w:val="24"/>
                <w:szCs w:val="24"/>
              </w:rPr>
            </w:pPr>
            <w:r>
              <w:rPr>
                <w:rFonts w:ascii="Times New Roman" w:hAnsi="Times New Roman" w:cs="Times New Roman"/>
                <w:noProof/>
                <w:color w:val="0000FF"/>
                <w:sz w:val="24"/>
                <w:szCs w:val="24"/>
              </w:rPr>
              <w:drawing>
                <wp:inline distT="0" distB="0" distL="0" distR="0" wp14:anchorId="5F4EA795" wp14:editId="677FE58E">
                  <wp:extent cx="1219200" cy="542925"/>
                  <wp:effectExtent l="0" t="0" r="0" b="9525"/>
                  <wp:docPr id="6" name="תמונה 6" descr="תמונה שמכילה טקסט&#10;&#10;התיאור נוצר באופן אוטומטי">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תמונה שמכילה טקסט&#10;&#10;התיאור נוצר באופן אוטומטי">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542925"/>
                          </a:xfrm>
                          <a:prstGeom prst="rect">
                            <a:avLst/>
                          </a:prstGeom>
                          <a:noFill/>
                          <a:ln>
                            <a:noFill/>
                          </a:ln>
                        </pic:spPr>
                      </pic:pic>
                    </a:graphicData>
                  </a:graphic>
                </wp:inline>
              </w:drawing>
            </w:r>
          </w:p>
        </w:tc>
        <w:tc>
          <w:tcPr>
            <w:tcW w:w="0" w:type="auto"/>
            <w:vAlign w:val="center"/>
            <w:hideMark/>
          </w:tcPr>
          <w:p w14:paraId="5CC9C123" w14:textId="77777777" w:rsidR="004860F4" w:rsidRDefault="004860F4">
            <w:pPr>
              <w:rPr>
                <w:rFonts w:ascii="Times New Roman" w:hAnsi="Times New Roman" w:cs="Times New Roman"/>
                <w:color w:val="1F497D"/>
                <w:sz w:val="24"/>
                <w:szCs w:val="24"/>
              </w:rPr>
            </w:pPr>
            <w:r>
              <w:rPr>
                <w:rFonts w:ascii="Times New Roman" w:hAnsi="Times New Roman" w:cs="Times New Roman"/>
                <w:noProof/>
                <w:color w:val="1F497D"/>
                <w:sz w:val="24"/>
                <w:szCs w:val="24"/>
              </w:rPr>
              <w:drawing>
                <wp:inline distT="0" distB="0" distL="0" distR="0" wp14:anchorId="30965E0A" wp14:editId="13A27D3A">
                  <wp:extent cx="66675" cy="85725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857250"/>
                          </a:xfrm>
                          <a:prstGeom prst="rect">
                            <a:avLst/>
                          </a:prstGeom>
                          <a:noFill/>
                          <a:ln>
                            <a:noFill/>
                          </a:ln>
                        </pic:spPr>
                      </pic:pic>
                    </a:graphicData>
                  </a:graphic>
                </wp:inline>
              </w:drawing>
            </w:r>
          </w:p>
        </w:tc>
        <w:tc>
          <w:tcPr>
            <w:tcW w:w="0" w:type="auto"/>
            <w:vAlign w:val="center"/>
            <w:hideMark/>
          </w:tcPr>
          <w:p w14:paraId="430335B4" w14:textId="77777777" w:rsidR="004860F4" w:rsidRDefault="004860F4">
            <w:pPr>
              <w:rPr>
                <w:rFonts w:ascii="Times New Roman" w:hAnsi="Times New Roman" w:cs="Times New Roman"/>
                <w:color w:val="1F497D"/>
                <w:sz w:val="24"/>
                <w:szCs w:val="24"/>
              </w:rPr>
            </w:pPr>
            <w:r>
              <w:rPr>
                <w:rFonts w:ascii="Times New Roman" w:hAnsi="Times New Roman" w:cs="Times New Roman"/>
                <w:noProof/>
                <w:color w:val="0000FF"/>
                <w:sz w:val="24"/>
                <w:szCs w:val="24"/>
              </w:rPr>
              <w:drawing>
                <wp:inline distT="0" distB="0" distL="0" distR="0" wp14:anchorId="5BAADA82" wp14:editId="448D8F28">
                  <wp:extent cx="1304925" cy="561975"/>
                  <wp:effectExtent l="0" t="0" r="9525" b="9525"/>
                  <wp:docPr id="4" name="תמונה 4" descr="תמונה שמכילה טקסט&#10;&#10;התיאור נוצר באופן אוטומטי">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תמונה שמכילה טקסט&#10;&#10;התיאור נוצר באופן אוטומטי">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561975"/>
                          </a:xfrm>
                          <a:prstGeom prst="rect">
                            <a:avLst/>
                          </a:prstGeom>
                          <a:noFill/>
                          <a:ln>
                            <a:noFill/>
                          </a:ln>
                        </pic:spPr>
                      </pic:pic>
                    </a:graphicData>
                  </a:graphic>
                </wp:inline>
              </w:drawing>
            </w:r>
          </w:p>
        </w:tc>
        <w:tc>
          <w:tcPr>
            <w:tcW w:w="135" w:type="dxa"/>
            <w:vAlign w:val="center"/>
            <w:hideMark/>
          </w:tcPr>
          <w:p w14:paraId="6D3019FF" w14:textId="77777777" w:rsidR="004860F4" w:rsidRDefault="004860F4">
            <w:pPr>
              <w:rPr>
                <w:rFonts w:ascii="Times New Roman" w:hAnsi="Times New Roman" w:cs="Times New Roman"/>
                <w:color w:val="1F497D"/>
                <w:sz w:val="24"/>
                <w:szCs w:val="24"/>
              </w:rPr>
            </w:pPr>
            <w:r>
              <w:rPr>
                <w:rFonts w:ascii="Times New Roman" w:hAnsi="Times New Roman" w:cs="Times New Roman"/>
                <w:noProof/>
                <w:color w:val="1F497D"/>
                <w:sz w:val="24"/>
                <w:szCs w:val="24"/>
              </w:rPr>
              <w:drawing>
                <wp:inline distT="0" distB="0" distL="0" distR="0" wp14:anchorId="05B9DAE2" wp14:editId="460ED26A">
                  <wp:extent cx="66675" cy="857250"/>
                  <wp:effectExtent l="0" t="0" r="952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857250"/>
                          </a:xfrm>
                          <a:prstGeom prst="rect">
                            <a:avLst/>
                          </a:prstGeom>
                          <a:noFill/>
                          <a:ln>
                            <a:noFill/>
                          </a:ln>
                        </pic:spPr>
                      </pic:pic>
                    </a:graphicData>
                  </a:graphic>
                </wp:inline>
              </w:drawing>
            </w:r>
          </w:p>
        </w:tc>
        <w:tc>
          <w:tcPr>
            <w:tcW w:w="1755" w:type="dxa"/>
            <w:tcBorders>
              <w:top w:val="dotted" w:sz="8" w:space="0" w:color="FFFFFF"/>
              <w:left w:val="nil"/>
              <w:bottom w:val="nil"/>
              <w:right w:val="dotted" w:sz="8" w:space="0" w:color="FFFFFF"/>
            </w:tcBorders>
            <w:tcMar>
              <w:top w:w="30" w:type="dxa"/>
              <w:left w:w="30" w:type="dxa"/>
              <w:bottom w:w="30" w:type="dxa"/>
              <w:right w:w="30" w:type="dxa"/>
            </w:tcMar>
            <w:vAlign w:val="center"/>
            <w:hideMark/>
          </w:tcPr>
          <w:p w14:paraId="69624325" w14:textId="77777777" w:rsidR="004860F4" w:rsidRDefault="004860F4">
            <w:pPr>
              <w:spacing w:before="100" w:beforeAutospacing="1" w:after="100" w:afterAutospacing="1"/>
              <w:jc w:val="right"/>
              <w:rPr>
                <w:rFonts w:ascii="Times New Roman" w:hAnsi="Times New Roman" w:cs="Times New Roman"/>
                <w:color w:val="1F497D"/>
                <w:sz w:val="24"/>
                <w:szCs w:val="24"/>
              </w:rPr>
            </w:pPr>
            <w:r>
              <w:rPr>
                <w:rFonts w:ascii="Times New Roman" w:hAnsi="Times New Roman" w:cs="Times New Roman"/>
                <w:noProof/>
                <w:color w:val="0000FF"/>
                <w:sz w:val="24"/>
                <w:szCs w:val="24"/>
              </w:rPr>
              <w:drawing>
                <wp:inline distT="0" distB="0" distL="0" distR="0" wp14:anchorId="41AAFCD5" wp14:editId="57B2466D">
                  <wp:extent cx="1847850" cy="685800"/>
                  <wp:effectExtent l="0" t="0" r="0" b="0"/>
                  <wp:docPr id="2" name="תמונה 2" descr="תמונה שמכילה טקסט&#10;&#10;התיאור נוצר באופן אוטומטי">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685800"/>
                          </a:xfrm>
                          <a:prstGeom prst="rect">
                            <a:avLst/>
                          </a:prstGeom>
                          <a:noFill/>
                          <a:ln>
                            <a:noFill/>
                          </a:ln>
                        </pic:spPr>
                      </pic:pic>
                    </a:graphicData>
                  </a:graphic>
                </wp:inline>
              </w:drawing>
            </w:r>
          </w:p>
        </w:tc>
        <w:tc>
          <w:tcPr>
            <w:tcW w:w="0" w:type="auto"/>
            <w:vAlign w:val="center"/>
            <w:hideMark/>
          </w:tcPr>
          <w:p w14:paraId="79B6D7DA" w14:textId="77777777" w:rsidR="004860F4" w:rsidRDefault="004860F4">
            <w:pPr>
              <w:rPr>
                <w:rFonts w:ascii="Times New Roman" w:hAnsi="Times New Roman" w:cs="Times New Roman"/>
                <w:color w:val="1F497D"/>
                <w:sz w:val="24"/>
                <w:szCs w:val="24"/>
              </w:rPr>
            </w:pPr>
            <w:r>
              <w:rPr>
                <w:rFonts w:ascii="Times New Roman" w:hAnsi="Times New Roman" w:cs="Times New Roman"/>
                <w:noProof/>
                <w:color w:val="1F497D"/>
                <w:sz w:val="24"/>
                <w:szCs w:val="24"/>
              </w:rPr>
              <w:drawing>
                <wp:inline distT="0" distB="0" distL="0" distR="0" wp14:anchorId="6D44B5A3" wp14:editId="7FF91995">
                  <wp:extent cx="66675" cy="8572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857250"/>
                          </a:xfrm>
                          <a:prstGeom prst="rect">
                            <a:avLst/>
                          </a:prstGeom>
                          <a:noFill/>
                          <a:ln>
                            <a:noFill/>
                          </a:ln>
                        </pic:spPr>
                      </pic:pic>
                    </a:graphicData>
                  </a:graphic>
                </wp:inline>
              </w:drawing>
            </w:r>
          </w:p>
        </w:tc>
        <w:tc>
          <w:tcPr>
            <w:tcW w:w="0" w:type="auto"/>
            <w:tcBorders>
              <w:top w:val="dotted" w:sz="8" w:space="0" w:color="FFFFFF"/>
              <w:left w:val="nil"/>
              <w:bottom w:val="nil"/>
              <w:right w:val="nil"/>
            </w:tcBorders>
            <w:tcMar>
              <w:top w:w="15" w:type="dxa"/>
              <w:left w:w="15" w:type="dxa"/>
              <w:bottom w:w="15" w:type="dxa"/>
              <w:right w:w="15" w:type="dxa"/>
            </w:tcMar>
            <w:vAlign w:val="center"/>
            <w:hideMark/>
          </w:tcPr>
          <w:p w14:paraId="7683B83C" w14:textId="77777777" w:rsidR="004860F4" w:rsidRDefault="004860F4">
            <w:pPr>
              <w:rPr>
                <w:rFonts w:ascii="Times New Roman" w:hAnsi="Times New Roman" w:cs="Times New Roman"/>
                <w:color w:val="1F497D"/>
                <w:sz w:val="24"/>
                <w:szCs w:val="24"/>
              </w:rPr>
            </w:pPr>
          </w:p>
        </w:tc>
      </w:tr>
    </w:tbl>
    <w:p w14:paraId="46E83371" w14:textId="77777777" w:rsidR="004860F4" w:rsidRDefault="004860F4" w:rsidP="004860F4">
      <w:pPr>
        <w:jc w:val="right"/>
        <w:rPr>
          <w:rFonts w:ascii="Arial" w:hAnsi="Arial" w:cs="Arial"/>
          <w:color w:val="1F497D"/>
          <w:sz w:val="20"/>
          <w:szCs w:val="20"/>
          <w:lang w:val="en-US"/>
        </w:rPr>
      </w:pPr>
      <w:r>
        <w:rPr>
          <w:rFonts w:ascii="Arial" w:hAnsi="Arial" w:cs="Arial"/>
          <w:color w:val="1F497D"/>
          <w:sz w:val="20"/>
          <w:szCs w:val="20"/>
          <w:lang w:val="en-US"/>
        </w:rPr>
        <w:t> </w:t>
      </w:r>
    </w:p>
    <w:p w14:paraId="550A48EC" w14:textId="77777777" w:rsidR="004860F4" w:rsidRDefault="004860F4" w:rsidP="004860F4">
      <w:pPr>
        <w:jc w:val="right"/>
        <w:rPr>
          <w:rFonts w:ascii="Arial" w:hAnsi="Arial" w:cs="Arial"/>
          <w:color w:val="1F497D"/>
          <w:sz w:val="20"/>
          <w:szCs w:val="20"/>
          <w:lang w:val="en-US"/>
        </w:rPr>
      </w:pPr>
      <w:r>
        <w:rPr>
          <w:rFonts w:ascii="Arial" w:hAnsi="Arial" w:cs="Arial"/>
          <w:color w:val="1F497D"/>
          <w:sz w:val="20"/>
          <w:szCs w:val="20"/>
          <w:lang w:val="en-US"/>
        </w:rPr>
        <w:t> </w:t>
      </w:r>
    </w:p>
    <w:p w14:paraId="069C5B88" w14:textId="77777777" w:rsidR="004860F4" w:rsidRDefault="004860F4" w:rsidP="004860F4">
      <w:pPr>
        <w:jc w:val="right"/>
        <w:rPr>
          <w:rFonts w:ascii="Arial" w:hAnsi="Arial" w:cs="Arial"/>
          <w:color w:val="1F497D"/>
          <w:sz w:val="20"/>
          <w:szCs w:val="20"/>
          <w:lang w:val="en-US"/>
        </w:rPr>
      </w:pPr>
      <w:r>
        <w:rPr>
          <w:rFonts w:ascii="Arial" w:hAnsi="Arial" w:cs="Arial"/>
          <w:color w:val="1F497D"/>
          <w:sz w:val="20"/>
          <w:szCs w:val="20"/>
          <w:lang w:val="en-US"/>
        </w:rPr>
        <w:t> </w:t>
      </w:r>
    </w:p>
    <w:p w14:paraId="3770230F" w14:textId="77777777" w:rsidR="004860F4" w:rsidRDefault="004860F4" w:rsidP="004860F4">
      <w:pPr>
        <w:jc w:val="right"/>
        <w:rPr>
          <w:rFonts w:ascii="Arial" w:hAnsi="Arial" w:cs="Arial"/>
          <w:color w:val="1F497D"/>
          <w:sz w:val="20"/>
          <w:szCs w:val="20"/>
          <w:lang w:val="en-US"/>
        </w:rPr>
      </w:pPr>
      <w:r>
        <w:rPr>
          <w:rFonts w:ascii="Arial" w:hAnsi="Arial" w:cs="Arial"/>
          <w:color w:val="1F497D"/>
          <w:sz w:val="20"/>
          <w:szCs w:val="20"/>
          <w:lang w:val="en-US"/>
        </w:rPr>
        <w:t> </w:t>
      </w:r>
    </w:p>
    <w:p w14:paraId="63FDC832" w14:textId="77777777" w:rsidR="004860F4" w:rsidRDefault="004860F4" w:rsidP="004860F4">
      <w:pPr>
        <w:jc w:val="right"/>
        <w:rPr>
          <w:rFonts w:ascii="Arial" w:hAnsi="Arial" w:cs="Arial"/>
          <w:color w:val="1F497D"/>
          <w:sz w:val="20"/>
          <w:szCs w:val="20"/>
          <w:lang w:val="en-US"/>
        </w:rPr>
      </w:pPr>
      <w:r>
        <w:rPr>
          <w:rFonts w:ascii="Arial" w:hAnsi="Arial" w:cs="Arial"/>
          <w:color w:val="1F497D"/>
          <w:sz w:val="20"/>
          <w:szCs w:val="20"/>
          <w:lang w:val="en-US"/>
        </w:rPr>
        <w:t> </w:t>
      </w:r>
    </w:p>
    <w:p w14:paraId="19F60686" w14:textId="77777777" w:rsidR="004860F4" w:rsidRDefault="004860F4" w:rsidP="004860F4">
      <w:pPr>
        <w:bidi/>
        <w:rPr>
          <w:color w:val="000000"/>
          <w:sz w:val="26"/>
          <w:szCs w:val="26"/>
          <w:lang w:val="en-US"/>
        </w:rPr>
      </w:pPr>
      <w:r>
        <w:rPr>
          <w:rFonts w:ascii="Arial" w:hAnsi="Arial" w:cs="Arial"/>
          <w:color w:val="1F497D"/>
          <w:sz w:val="20"/>
          <w:szCs w:val="20"/>
          <w:lang w:val="en-US"/>
        </w:rPr>
        <w:br/>
      </w:r>
      <w:r>
        <w:rPr>
          <w:rFonts w:ascii="Arial" w:hAnsi="Arial" w:cs="Arial"/>
          <w:color w:val="1F497D"/>
          <w:sz w:val="20"/>
          <w:szCs w:val="20"/>
          <w:lang w:val="en-US"/>
        </w:rPr>
        <w:br/>
      </w:r>
      <w:r>
        <w:rPr>
          <w:rFonts w:ascii="Arial" w:hAnsi="Arial" w:cs="Arial"/>
          <w:color w:val="1F497D"/>
          <w:sz w:val="20"/>
          <w:szCs w:val="20"/>
          <w:lang w:val="en-US"/>
        </w:rPr>
        <w:br/>
        <w:t> </w:t>
      </w:r>
    </w:p>
    <w:p w14:paraId="0E650CCA" w14:textId="77777777" w:rsidR="004860F4" w:rsidRDefault="004860F4" w:rsidP="004860F4">
      <w:pPr>
        <w:outlineLvl w:val="0"/>
        <w:rPr>
          <w:lang w:val="en-US"/>
        </w:rPr>
      </w:pPr>
      <w:r>
        <w:rPr>
          <w:b/>
          <w:bCs/>
          <w:lang w:val="en-US"/>
        </w:rPr>
        <w:t>From:</w:t>
      </w:r>
      <w:r>
        <w:rPr>
          <w:lang w:val="en-US"/>
        </w:rPr>
        <w:t xml:space="preserve"> Elad Man, Advocate &amp; Solicitor &lt;</w:t>
      </w:r>
      <w:hyperlink r:id="rId18" w:history="1">
        <w:r>
          <w:rPr>
            <w:rStyle w:val="Hyperlink"/>
            <w:lang w:val="en-US"/>
          </w:rPr>
          <w:t>elad@man-barak.com</w:t>
        </w:r>
      </w:hyperlink>
      <w:r>
        <w:rPr>
          <w:lang w:val="en-US"/>
        </w:rPr>
        <w:t xml:space="preserve">&gt; </w:t>
      </w:r>
      <w:r>
        <w:rPr>
          <w:lang w:val="en-US"/>
        </w:rPr>
        <w:br/>
      </w:r>
      <w:r>
        <w:rPr>
          <w:b/>
          <w:bCs/>
          <w:lang w:val="en-US"/>
        </w:rPr>
        <w:t>Sent:</w:t>
      </w:r>
      <w:r>
        <w:rPr>
          <w:lang w:val="en-US"/>
        </w:rPr>
        <w:t xml:space="preserve"> Thursday, March 17, 2022 8:41 AM</w:t>
      </w:r>
      <w:r>
        <w:rPr>
          <w:lang w:val="en-US"/>
        </w:rPr>
        <w:br/>
      </w:r>
      <w:r>
        <w:rPr>
          <w:b/>
          <w:bCs/>
          <w:lang w:val="en-US"/>
        </w:rPr>
        <w:t>To:</w:t>
      </w:r>
      <w:r>
        <w:rPr>
          <w:lang w:val="en-US"/>
        </w:rPr>
        <w:t xml:space="preserve"> </w:t>
      </w:r>
      <w:r>
        <w:rPr>
          <w:rFonts w:hint="cs"/>
          <w:rtl/>
          <w:lang w:val="en-US"/>
        </w:rPr>
        <w:t xml:space="preserve">חוק חופש המידע‏ </w:t>
      </w:r>
      <w:r>
        <w:rPr>
          <w:lang w:val="en-US"/>
        </w:rPr>
        <w:t>&lt;</w:t>
      </w:r>
      <w:hyperlink r:id="rId19" w:history="1">
        <w:r>
          <w:rPr>
            <w:rStyle w:val="Hyperlink"/>
            <w:lang w:val="en-US"/>
          </w:rPr>
          <w:t>HOFESH@MOH.GOV.IL</w:t>
        </w:r>
      </w:hyperlink>
      <w:r>
        <w:rPr>
          <w:lang w:val="en-US"/>
        </w:rPr>
        <w:t>&gt;</w:t>
      </w:r>
      <w:r>
        <w:rPr>
          <w:lang w:val="en-US"/>
        </w:rPr>
        <w:br/>
      </w:r>
      <w:r>
        <w:rPr>
          <w:b/>
          <w:bCs/>
          <w:lang w:val="en-US"/>
        </w:rPr>
        <w:t>Subject:</w:t>
      </w:r>
      <w:r>
        <w:rPr>
          <w:lang w:val="en-US"/>
        </w:rPr>
        <w:t xml:space="preserve"> </w:t>
      </w:r>
      <w:r>
        <w:rPr>
          <w:rFonts w:hint="cs"/>
          <w:rtl/>
          <w:lang w:val="en-US"/>
        </w:rPr>
        <w:t>בקשת חופש מידע - מכרז לבחירת חברת דיגום קורונה לנכנסים לישראל שהתקיים בחודש האחרון</w:t>
      </w:r>
    </w:p>
    <w:p w14:paraId="55A84725" w14:textId="77777777" w:rsidR="004860F4" w:rsidRDefault="004860F4" w:rsidP="004860F4">
      <w:pPr>
        <w:bidi/>
        <w:rPr>
          <w:lang w:val="en-US"/>
        </w:rPr>
      </w:pPr>
    </w:p>
    <w:p w14:paraId="33BE4543" w14:textId="77777777" w:rsidR="004860F4" w:rsidRDefault="004860F4" w:rsidP="004860F4">
      <w:pPr>
        <w:bidi/>
        <w:rPr>
          <w:lang w:val="en-US"/>
        </w:rPr>
      </w:pPr>
    </w:p>
    <w:p w14:paraId="2573E79E" w14:textId="77777777" w:rsidR="004860F4" w:rsidRDefault="004860F4" w:rsidP="004860F4">
      <w:pPr>
        <w:bidi/>
        <w:rPr>
          <w:lang w:val="en-US"/>
        </w:rPr>
      </w:pPr>
      <w:r>
        <w:rPr>
          <w:rFonts w:hint="cs"/>
          <w:rtl/>
          <w:lang w:val="en-US"/>
        </w:rPr>
        <w:lastRenderedPageBreak/>
        <w:t>לממונה על חופש המידע במשרד הבריאות שלום,</w:t>
      </w:r>
    </w:p>
    <w:p w14:paraId="6A896ECA" w14:textId="77777777" w:rsidR="004860F4" w:rsidRDefault="004860F4" w:rsidP="004860F4">
      <w:pPr>
        <w:bidi/>
        <w:rPr>
          <w:lang w:val="en-US"/>
        </w:rPr>
      </w:pPr>
    </w:p>
    <w:p w14:paraId="356C25C8" w14:textId="77777777" w:rsidR="004860F4" w:rsidRDefault="004860F4" w:rsidP="004860F4">
      <w:pPr>
        <w:bidi/>
        <w:rPr>
          <w:lang w:val="en-US"/>
        </w:rPr>
      </w:pPr>
      <w:r>
        <w:rPr>
          <w:rFonts w:hint="cs"/>
          <w:rtl/>
          <w:lang w:val="en-US"/>
        </w:rPr>
        <w:t xml:space="preserve">מוגשת בזאת בקשת חופש מידע כמפורט להלן. מצורפים כתמיד אישור הניהול התקין של הצלחה וייפוי </w:t>
      </w:r>
      <w:proofErr w:type="spellStart"/>
      <w:r>
        <w:rPr>
          <w:rFonts w:hint="cs"/>
          <w:rtl/>
          <w:lang w:val="en-US"/>
        </w:rPr>
        <w:t>כח</w:t>
      </w:r>
      <w:proofErr w:type="spellEnd"/>
      <w:r>
        <w:rPr>
          <w:rFonts w:hint="cs"/>
          <w:rtl/>
          <w:lang w:val="en-US"/>
        </w:rPr>
        <w:t xml:space="preserve"> מתאים. הריני להתחייב בשמה של הצלחה - לקידום חברה הוגנת (ע"ר), לשאת בדמי הטיפול עד לסך של 153 ₪. (שימו לב כי שמה של הצלחה שונה ברשם העמותות ובהתאם מצורפת תעודת שינוי שם). </w:t>
      </w:r>
    </w:p>
    <w:p w14:paraId="10F240CD" w14:textId="77777777" w:rsidR="004860F4" w:rsidRDefault="004860F4" w:rsidP="004860F4">
      <w:pPr>
        <w:bidi/>
        <w:rPr>
          <w:lang w:val="en-US"/>
        </w:rPr>
      </w:pPr>
    </w:p>
    <w:p w14:paraId="38ACB577" w14:textId="77777777" w:rsidR="004860F4" w:rsidRDefault="004860F4" w:rsidP="004860F4">
      <w:pPr>
        <w:bidi/>
        <w:spacing w:before="100" w:beforeAutospacing="1" w:after="100" w:afterAutospacing="1"/>
        <w:ind w:right="192"/>
        <w:rPr>
          <w:lang w:val="en-US"/>
        </w:rPr>
      </w:pPr>
      <w:r>
        <w:rPr>
          <w:rFonts w:hint="cs"/>
          <w:rtl/>
          <w:lang w:val="en-US"/>
        </w:rPr>
        <w:t xml:space="preserve">נזכיר כי הצלחה היא עמותה הפטורה מתשלום אגרת הגשת הבקשה וכן משבע שעות הטיפול הראשונות בה, זאת בהתאם להוראות החוק וכן </w:t>
      </w:r>
      <w:hyperlink r:id="rId20" w:tgtFrame="_blank" w:history="1">
        <w:r>
          <w:rPr>
            <w:rStyle w:val="Hyperlink"/>
            <w:rFonts w:hint="cs"/>
            <w:rtl/>
            <w:lang w:val="en-US"/>
          </w:rPr>
          <w:t>תקנות חופש המידע (אגרות), תשנ"ט-1999</w:t>
        </w:r>
      </w:hyperlink>
      <w:r>
        <w:rPr>
          <w:rFonts w:hint="cs"/>
          <w:rtl/>
          <w:lang w:val="en-US"/>
        </w:rPr>
        <w:t xml:space="preserve">. (ראו הוראות סעיף 6(ב) 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21" w:tgtFrame="_blank" w:history="1">
        <w:r>
          <w:rPr>
            <w:rStyle w:val="Hyperlink"/>
            <w:rFonts w:hint="cs"/>
            <w:rtl/>
            <w:lang w:val="en-US"/>
          </w:rPr>
          <w:t>רשימת העמותות הפועלות לקידום מטרה ציבורית</w:t>
        </w:r>
      </w:hyperlink>
      <w:r>
        <w:rPr>
          <w:rFonts w:hint="cs"/>
          <w:rtl/>
          <w:lang w:val="en-US"/>
        </w:rPr>
        <w:t xml:space="preserve"> כהגדרתה בחוק באתר היחידה הממשלתית לחופש המידע במשרד המשפטים, שם מופיעה גם עמותת הצלחה.</w:t>
      </w:r>
    </w:p>
    <w:p w14:paraId="54BA6A86" w14:textId="77777777" w:rsidR="004860F4" w:rsidRDefault="004860F4" w:rsidP="004860F4">
      <w:pPr>
        <w:bidi/>
        <w:spacing w:before="100" w:beforeAutospacing="1" w:after="100" w:afterAutospacing="1"/>
        <w:ind w:right="192"/>
        <w:rPr>
          <w:b/>
          <w:bCs/>
          <w:lang w:val="en-US"/>
        </w:rPr>
      </w:pPr>
      <w:r>
        <w:rPr>
          <w:rFonts w:hint="cs"/>
          <w:b/>
          <w:bCs/>
          <w:rtl/>
          <w:lang w:val="en-US"/>
        </w:rPr>
        <w:t xml:space="preserve">אנו שמחים להסב את תשומת ליבכם כי מדריך חוק חופש המידע, בהוצאת הצלחה, מדריך מקוון ומקיף העוסק בהיבטים רבים של חופש מידע ובקשות חופש מידע, זמין בכתובת </w:t>
      </w:r>
      <w:hyperlink r:id="rId22" w:history="1">
        <w:r>
          <w:rPr>
            <w:rStyle w:val="Hyperlink"/>
            <w:rFonts w:hint="cs"/>
            <w:b/>
            <w:bCs/>
            <w:lang w:val="en-US"/>
          </w:rPr>
          <w:t>https://www.foiguide.org.il</w:t>
        </w:r>
        <w:r>
          <w:rPr>
            <w:rStyle w:val="Hyperlink"/>
            <w:rFonts w:hint="cs"/>
            <w:b/>
            <w:bCs/>
            <w:rtl/>
            <w:lang w:val="en-US"/>
          </w:rPr>
          <w:t>/</w:t>
        </w:r>
      </w:hyperlink>
      <w:r>
        <w:rPr>
          <w:rFonts w:hint="cs"/>
          <w:b/>
          <w:bCs/>
          <w:rtl/>
          <w:lang w:val="en-US"/>
        </w:rPr>
        <w:t xml:space="preserve"> וניתן להיעזר בו במתן מענים על תשובות, כמו גם במהלך ניהול הליכים </w:t>
      </w:r>
      <w:proofErr w:type="spellStart"/>
      <w:r>
        <w:rPr>
          <w:rFonts w:hint="cs"/>
          <w:b/>
          <w:bCs/>
          <w:rtl/>
          <w:lang w:val="en-US"/>
        </w:rPr>
        <w:t>מכח</w:t>
      </w:r>
      <w:proofErr w:type="spellEnd"/>
      <w:r>
        <w:rPr>
          <w:rFonts w:hint="cs"/>
          <w:b/>
          <w:bCs/>
          <w:rtl/>
          <w:lang w:val="en-US"/>
        </w:rPr>
        <w:t xml:space="preserve"> חוק חופש המידע. ניתן אף להזמין מהדורה מודפסת של המדריך באמצעות האתר. </w:t>
      </w:r>
    </w:p>
    <w:p w14:paraId="0E957DC9" w14:textId="77777777" w:rsidR="004860F4" w:rsidRDefault="004860F4" w:rsidP="004860F4">
      <w:pPr>
        <w:bidi/>
        <w:spacing w:before="100" w:beforeAutospacing="1" w:after="100" w:afterAutospacing="1"/>
        <w:ind w:right="192"/>
        <w:rPr>
          <w:lang w:val="en-US"/>
        </w:rPr>
      </w:pPr>
      <w:r>
        <w:rPr>
          <w:rFonts w:hint="cs"/>
          <w:rtl/>
          <w:lang w:val="en-US"/>
        </w:rPr>
        <w:t>נבקש לקבל את הנתונים, המידע והמסמכים הבאים בפורמט דיגיטלי בר חיפוש:</w:t>
      </w:r>
    </w:p>
    <w:p w14:paraId="1807391A" w14:textId="77777777" w:rsidR="004860F4" w:rsidRDefault="004860F4" w:rsidP="004860F4">
      <w:pPr>
        <w:bidi/>
        <w:rPr>
          <w:lang w:val="en-US"/>
        </w:rPr>
      </w:pPr>
      <w:r>
        <w:rPr>
          <w:rFonts w:hint="cs"/>
          <w:rtl/>
          <w:lang w:val="en-US"/>
        </w:rPr>
        <w:t xml:space="preserve">בקשר עם ההליך </w:t>
      </w:r>
      <w:proofErr w:type="spellStart"/>
      <w:r>
        <w:rPr>
          <w:rFonts w:hint="cs"/>
          <w:rtl/>
          <w:lang w:val="en-US"/>
        </w:rPr>
        <w:t>המכרזי</w:t>
      </w:r>
      <w:proofErr w:type="spellEnd"/>
      <w:r>
        <w:rPr>
          <w:rFonts w:hint="cs"/>
          <w:rtl/>
          <w:lang w:val="en-US"/>
        </w:rPr>
        <w:t xml:space="preserve"> שהתקיים בחודש האחרון לבחירת חברת דיגום קורונה לנכנסים לישראל, בו נבחרה חברת </w:t>
      </w:r>
      <w:proofErr w:type="spellStart"/>
      <w:r>
        <w:rPr>
          <w:rFonts w:hint="cs"/>
          <w:rtl/>
          <w:lang w:val="en-US"/>
        </w:rPr>
        <w:t>פמי</w:t>
      </w:r>
      <w:proofErr w:type="spellEnd"/>
      <w:r>
        <w:rPr>
          <w:rFonts w:hint="cs"/>
          <w:rtl/>
          <w:lang w:val="en-US"/>
        </w:rPr>
        <w:t xml:space="preserve"> </w:t>
      </w:r>
      <w:proofErr w:type="spellStart"/>
      <w:r>
        <w:rPr>
          <w:rFonts w:hint="cs"/>
          <w:rtl/>
          <w:lang w:val="en-US"/>
        </w:rPr>
        <w:t>פרימיום</w:t>
      </w:r>
      <w:proofErr w:type="spellEnd"/>
      <w:r>
        <w:rPr>
          <w:rFonts w:hint="cs"/>
          <w:rtl/>
          <w:lang w:val="en-US"/>
        </w:rPr>
        <w:t xml:space="preserve"> בע״מ:</w:t>
      </w:r>
    </w:p>
    <w:p w14:paraId="68264CF2" w14:textId="77777777" w:rsidR="004860F4" w:rsidRDefault="004860F4" w:rsidP="004860F4">
      <w:pPr>
        <w:bidi/>
        <w:rPr>
          <w:lang w:val="en-US"/>
        </w:rPr>
      </w:pPr>
    </w:p>
    <w:p w14:paraId="2062CA17" w14:textId="77777777" w:rsidR="004860F4" w:rsidRDefault="004860F4" w:rsidP="004860F4">
      <w:pPr>
        <w:bidi/>
        <w:rPr>
          <w:lang w:val="en-US"/>
        </w:rPr>
      </w:pPr>
      <w:r>
        <w:rPr>
          <w:rFonts w:hint="cs"/>
          <w:rtl/>
          <w:lang w:val="en-US"/>
        </w:rPr>
        <w:t xml:space="preserve">מלוא מסמכי המכרז לרבות נוסח המכרז המלא על נספחיו, ההצעות שהוגשו במסגרתו על נספחיהם, פרוטוקולים, החלטות וטבלאות ניקוד והערכה של ועדת המכרזים, אמות מידה או מכוון לבחינת וניקוד המשתתפים במכרז, תכתובות, הבהרות והודעות שניתנו והוחלפו במסגרת ההליך </w:t>
      </w:r>
      <w:proofErr w:type="spellStart"/>
      <w:r>
        <w:rPr>
          <w:rFonts w:hint="cs"/>
          <w:rtl/>
          <w:lang w:val="en-US"/>
        </w:rPr>
        <w:t>המכרזי</w:t>
      </w:r>
      <w:proofErr w:type="spellEnd"/>
      <w:r>
        <w:rPr>
          <w:rFonts w:hint="cs"/>
          <w:rtl/>
          <w:lang w:val="en-US"/>
        </w:rPr>
        <w:t xml:space="preserve"> וכן כל חוות דעת ו/או מסמך אחר הנוגעים אליו. </w:t>
      </w:r>
    </w:p>
    <w:p w14:paraId="08EF9699" w14:textId="77777777" w:rsidR="004860F4" w:rsidRDefault="004860F4" w:rsidP="004860F4">
      <w:pPr>
        <w:bidi/>
        <w:rPr>
          <w:lang w:val="en-US"/>
        </w:rPr>
      </w:pPr>
    </w:p>
    <w:p w14:paraId="6A710E92" w14:textId="77777777" w:rsidR="004860F4" w:rsidRDefault="004860F4" w:rsidP="004860F4">
      <w:pPr>
        <w:bidi/>
        <w:rPr>
          <w:lang w:val="en-US"/>
        </w:rPr>
      </w:pPr>
    </w:p>
    <w:p w14:paraId="0E48F093" w14:textId="77777777" w:rsidR="004860F4" w:rsidRDefault="004860F4" w:rsidP="004860F4">
      <w:pPr>
        <w:bidi/>
        <w:rPr>
          <w:lang w:val="en-US"/>
        </w:rPr>
      </w:pPr>
      <w:r>
        <w:rPr>
          <w:rFonts w:hint="cs"/>
          <w:rtl/>
          <w:lang w:val="en-US"/>
        </w:rPr>
        <w:t>נודה על אישור קבלת הבקשה ותחילת הטיפול בה בהתאם למועדים הקבועים בדין.</w:t>
      </w:r>
    </w:p>
    <w:p w14:paraId="1F4202B5" w14:textId="77777777" w:rsidR="004860F4" w:rsidRDefault="004860F4" w:rsidP="004860F4">
      <w:pPr>
        <w:bidi/>
        <w:rPr>
          <w:lang w:val="en-US"/>
        </w:rPr>
      </w:pPr>
    </w:p>
    <w:p w14:paraId="426EA249" w14:textId="77777777" w:rsidR="00856926" w:rsidRPr="004860F4" w:rsidRDefault="00856926">
      <w:pPr>
        <w:rPr>
          <w:lang w:val="en-US"/>
        </w:rPr>
      </w:pPr>
    </w:p>
    <w:sectPr w:rsidR="00856926" w:rsidRPr="00486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F4"/>
    <w:rsid w:val="004860F4"/>
    <w:rsid w:val="0085692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9DE9"/>
  <w15:chartTrackingRefBased/>
  <w15:docId w15:val="{8D7C65A7-3667-456F-A34F-06550F33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0F4"/>
    <w:pPr>
      <w:spacing w:after="0" w:line="240" w:lineRule="auto"/>
    </w:pPr>
    <w:rPr>
      <w:rFonts w:ascii="Calibri" w:hAnsi="Calibri" w:cs="Calibri"/>
      <w:lang w:eastAsia="e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860F4"/>
    <w:rPr>
      <w:color w:val="0563C1"/>
      <w:u w:val="single"/>
    </w:rPr>
  </w:style>
  <w:style w:type="paragraph" w:customStyle="1" w:styleId="p00">
    <w:name w:val="p00"/>
    <w:basedOn w:val="a"/>
    <w:rsid w:val="004860F4"/>
    <w:pPr>
      <w:spacing w:before="100" w:beforeAutospacing="1" w:after="100" w:afterAutospacing="1"/>
    </w:pPr>
    <w:rPr>
      <w:rFonts w:ascii="Times New Roman" w:hAnsi="Times New Roman" w:cs="Times New Roman"/>
      <w:sz w:val="24"/>
      <w:szCs w:val="24"/>
    </w:rPr>
  </w:style>
  <w:style w:type="character" w:customStyle="1" w:styleId="big-number">
    <w:name w:val="big-number"/>
    <w:basedOn w:val="a0"/>
    <w:rsid w:val="004860F4"/>
  </w:style>
  <w:style w:type="character" w:customStyle="1" w:styleId="default">
    <w:name w:val="default"/>
    <w:basedOn w:val="a0"/>
    <w:rsid w:val="0048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mailto:elad@man-barak.com" TargetMode="External"/><Relationship Id="rId3" Type="http://schemas.openxmlformats.org/officeDocument/2006/relationships/webSettings" Target="webSettings.xml"/><Relationship Id="rId21" Type="http://schemas.openxmlformats.org/officeDocument/2006/relationships/hyperlink" Target="https://www.justice.gov.il/Units/YechidatChofeshHameyda/Hakika/Pages/Nonprofit-Organization.aspx" TargetMode="External"/><Relationship Id="rId7" Type="http://schemas.openxmlformats.org/officeDocument/2006/relationships/hyperlink" Target="https://api.whatsapp.com/send?phone=972507925400" TargetMode="External"/><Relationship Id="rId12" Type="http://schemas.openxmlformats.org/officeDocument/2006/relationships/hyperlink" Target="http://call.health.gov.il/"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www.health.gov.il/" TargetMode="External"/><Relationship Id="rId20" Type="http://schemas.openxmlformats.org/officeDocument/2006/relationships/hyperlink" Target="https://www.nevo.co.il/law_html/Law01/144M1_003.ht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s://www.facebook.com/health.gov.il" TargetMode="Externa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NULL" TargetMode="External"/><Relationship Id="rId19" Type="http://schemas.openxmlformats.org/officeDocument/2006/relationships/hyperlink" Target="mailto:HOFESH@MOH.GOV.IL" TargetMode="External"/><Relationship Id="rId4" Type="http://schemas.openxmlformats.org/officeDocument/2006/relationships/hyperlink" Target="https://mr.gov.il/ilgstorefront/he/p/4000546827" TargetMode="External"/><Relationship Id="rId9" Type="http://schemas.openxmlformats.org/officeDocument/2006/relationships/hyperlink" Target="NULL" TargetMode="External"/><Relationship Id="rId14" Type="http://schemas.openxmlformats.org/officeDocument/2006/relationships/hyperlink" Target="https://health.gov.il/PniyotHazibur/Pages/CallCenter.aspx" TargetMode="External"/><Relationship Id="rId22" Type="http://schemas.openxmlformats.org/officeDocument/2006/relationships/hyperlink" Target="https://www.foiguide.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2022-03-24T08:07:00Z</dcterms:created>
  <dcterms:modified xsi:type="dcterms:W3CDTF">2022-03-24T08:08:00Z</dcterms:modified>
</cp:coreProperties>
</file>