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A5" w:rsidRDefault="009435A5" w:rsidP="00E34D1B">
      <w:pPr>
        <w:spacing w:line="360" w:lineRule="auto"/>
        <w:rPr>
          <w:rtl/>
        </w:rPr>
      </w:pPr>
    </w:p>
    <w:p w:rsidR="00E34D1B" w:rsidRDefault="00E34D1B" w:rsidP="00E34D1B">
      <w:pPr>
        <w:spacing w:line="360" w:lineRule="auto"/>
        <w:rPr>
          <w:rtl/>
        </w:rPr>
      </w:pPr>
    </w:p>
    <w:p w:rsidR="00196CE7" w:rsidRDefault="00196CE7" w:rsidP="00E34D1B">
      <w:pPr>
        <w:ind w:left="7370"/>
        <w:rPr>
          <w:sz w:val="24"/>
          <w:rtl/>
        </w:rPr>
      </w:pPr>
      <w:bookmarkStart w:id="0" w:name="Date"/>
      <w:bookmarkEnd w:id="0"/>
      <w:r>
        <w:rPr>
          <w:rFonts w:hint="eastAsia"/>
          <w:sz w:val="24"/>
          <w:rtl/>
        </w:rPr>
        <w:t>כ</w:t>
      </w:r>
      <w:r>
        <w:rPr>
          <w:sz w:val="24"/>
          <w:rtl/>
        </w:rPr>
        <w:t xml:space="preserve">"ה בשבט </w:t>
      </w:r>
      <w:proofErr w:type="spellStart"/>
      <w:r>
        <w:rPr>
          <w:sz w:val="24"/>
          <w:rtl/>
        </w:rPr>
        <w:t>התשע"ט</w:t>
      </w:r>
      <w:proofErr w:type="spellEnd"/>
      <w:r>
        <w:rPr>
          <w:sz w:val="24"/>
          <w:rtl/>
        </w:rPr>
        <w:br/>
        <w:t>31 בינואר 2019</w:t>
      </w:r>
    </w:p>
    <w:p w:rsidR="00196CE7" w:rsidRDefault="00196CE7" w:rsidP="00E34D1B">
      <w:pPr>
        <w:ind w:left="7370"/>
        <w:rPr>
          <w:rtl/>
        </w:rPr>
      </w:pPr>
      <w:bookmarkStart w:id="1" w:name="DocNum"/>
      <w:bookmarkEnd w:id="1"/>
      <w:r>
        <w:rPr>
          <w:rtl/>
        </w:rPr>
        <w:t>שה. 2019-1622</w:t>
      </w:r>
    </w:p>
    <w:p w:rsidR="009435A5" w:rsidRDefault="009435A5" w:rsidP="009435A5">
      <w:pPr>
        <w:spacing w:line="360" w:lineRule="auto"/>
        <w:jc w:val="both"/>
        <w:rPr>
          <w:rtl/>
        </w:rPr>
      </w:pPr>
    </w:p>
    <w:p w:rsidR="009435A5" w:rsidRDefault="009435A5" w:rsidP="009435A5">
      <w:pPr>
        <w:spacing w:line="25" w:lineRule="atLeast"/>
        <w:jc w:val="both"/>
        <w:rPr>
          <w:rtl/>
        </w:rPr>
      </w:pPr>
      <w:bookmarkStart w:id="2" w:name="Start"/>
      <w:bookmarkEnd w:id="2"/>
    </w:p>
    <w:p w:rsidR="00680ECB" w:rsidRDefault="00680ECB" w:rsidP="00680ECB">
      <w:pPr>
        <w:spacing w:line="276" w:lineRule="auto"/>
        <w:rPr>
          <w:rtl/>
        </w:rPr>
      </w:pPr>
      <w:r>
        <w:rPr>
          <w:rFonts w:hint="cs"/>
          <w:rtl/>
        </w:rPr>
        <w:t xml:space="preserve">לכבוד </w:t>
      </w:r>
    </w:p>
    <w:p w:rsidR="00F335BC" w:rsidRDefault="00E92BBF" w:rsidP="00196CE7">
      <w:pPr>
        <w:spacing w:line="276" w:lineRule="auto"/>
        <w:rPr>
          <w:rtl/>
        </w:rPr>
      </w:pPr>
      <w:r>
        <w:rPr>
          <w:rFonts w:hint="cs"/>
          <w:rtl/>
        </w:rPr>
        <w:t xml:space="preserve">עו"ד </w:t>
      </w:r>
      <w:r w:rsidR="00F335BC">
        <w:rPr>
          <w:rFonts w:hint="cs"/>
          <w:rtl/>
        </w:rPr>
        <w:t>אלעד מן, יועמ"ש</w:t>
      </w:r>
    </w:p>
    <w:p w:rsidR="00F335BC" w:rsidRDefault="00F335BC" w:rsidP="00196CE7">
      <w:pPr>
        <w:spacing w:line="276" w:lineRule="auto"/>
        <w:rPr>
          <w:rtl/>
        </w:rPr>
      </w:pPr>
      <w:r w:rsidRPr="00196CE7">
        <w:rPr>
          <w:rtl/>
        </w:rPr>
        <w:t>הצלחה התנועה הצרכנית לקידום חברה כלכלית הוגנת (</w:t>
      </w:r>
      <w:proofErr w:type="spellStart"/>
      <w:r w:rsidRPr="00196CE7">
        <w:rPr>
          <w:rtl/>
        </w:rPr>
        <w:t>ע"ר</w:t>
      </w:r>
      <w:proofErr w:type="spellEnd"/>
      <w:r w:rsidRPr="00196CE7">
        <w:rPr>
          <w:rtl/>
        </w:rPr>
        <w:t>)</w:t>
      </w:r>
    </w:p>
    <w:p w:rsidR="00680ECB" w:rsidRPr="00507FAB" w:rsidRDefault="00680ECB" w:rsidP="00F335BC">
      <w:pPr>
        <w:spacing w:line="25" w:lineRule="atLeast"/>
        <w:jc w:val="both"/>
        <w:rPr>
          <w:u w:val="single"/>
          <w:rtl/>
        </w:rPr>
      </w:pPr>
      <w:r w:rsidRPr="0040435D">
        <w:rPr>
          <w:rFonts w:hint="eastAsia"/>
          <w:u w:val="single"/>
          <w:rtl/>
        </w:rPr>
        <w:t>בדואר</w:t>
      </w:r>
      <w:r w:rsidRPr="0040435D">
        <w:rPr>
          <w:u w:val="single"/>
          <w:rtl/>
        </w:rPr>
        <w:t xml:space="preserve"> </w:t>
      </w:r>
      <w:r w:rsidRPr="002D5141">
        <w:rPr>
          <w:u w:val="single"/>
          <w:rtl/>
        </w:rPr>
        <w:t>אלקטרוני</w:t>
      </w:r>
      <w:hyperlink r:id="rId8" w:tgtFrame="_blank" w:history="1"/>
      <w:r w:rsidR="00E92BBF">
        <w:rPr>
          <w:rStyle w:val="Hyperlink"/>
          <w:rFonts w:ascii="Calibri" w:hAnsi="Calibri" w:cs="Calibri" w:hint="cs"/>
          <w:sz w:val="22"/>
          <w:szCs w:val="22"/>
          <w:rtl/>
        </w:rPr>
        <w:t xml:space="preserve"> </w:t>
      </w:r>
      <w:r w:rsidR="00F335BC">
        <w:rPr>
          <w:color w:val="1F497D"/>
        </w:rPr>
        <w:t>:</w:t>
      </w:r>
      <w:r w:rsidR="00F335BC">
        <w:rPr>
          <w:color w:val="0000FF"/>
        </w:rPr>
        <w:t xml:space="preserve"> </w:t>
      </w:r>
      <w:hyperlink r:id="rId9" w:history="1">
        <w:r w:rsidR="00F335BC">
          <w:rPr>
            <w:rStyle w:val="Hyperlink"/>
          </w:rPr>
          <w:t>elad@man-barak.com</w:t>
        </w:r>
      </w:hyperlink>
    </w:p>
    <w:p w:rsidR="00680ECB" w:rsidRDefault="00680ECB" w:rsidP="00680ECB">
      <w:pPr>
        <w:spacing w:line="25" w:lineRule="atLeast"/>
        <w:jc w:val="both"/>
        <w:rPr>
          <w:rtl/>
        </w:rPr>
      </w:pPr>
    </w:p>
    <w:p w:rsidR="00680ECB" w:rsidRPr="005F6B87" w:rsidRDefault="00F335BC" w:rsidP="00E92BBF">
      <w:pPr>
        <w:spacing w:line="25" w:lineRule="atLeast"/>
        <w:jc w:val="center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הנדון: מידע אודות הליכים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מינהליים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680ECB" w:rsidRDefault="00680ECB" w:rsidP="00680ECB">
      <w:pPr>
        <w:spacing w:line="25" w:lineRule="atLeast"/>
        <w:jc w:val="both"/>
        <w:rPr>
          <w:rtl/>
        </w:rPr>
      </w:pPr>
    </w:p>
    <w:p w:rsidR="00F335BC" w:rsidRPr="00196CE7" w:rsidRDefault="00680ECB" w:rsidP="00196CE7">
      <w:pPr>
        <w:pStyle w:val="a7"/>
        <w:numPr>
          <w:ilvl w:val="0"/>
          <w:numId w:val="8"/>
        </w:numPr>
      </w:pPr>
      <w:r w:rsidRPr="00942077">
        <w:rPr>
          <w:rtl/>
        </w:rPr>
        <w:t>בפנייתך שבנדון</w:t>
      </w:r>
      <w:r w:rsidR="00E92BBF">
        <w:rPr>
          <w:rFonts w:hint="cs"/>
          <w:rtl/>
        </w:rPr>
        <w:t>, מיום</w:t>
      </w:r>
      <w:r w:rsidR="00755682">
        <w:rPr>
          <w:rFonts w:hint="cs"/>
          <w:rtl/>
        </w:rPr>
        <w:t xml:space="preserve"> 12 בינואר 2018,</w:t>
      </w:r>
      <w:r w:rsidRPr="00942077">
        <w:rPr>
          <w:rtl/>
        </w:rPr>
        <w:t xml:space="preserve"> ביקשת</w:t>
      </w:r>
      <w:r w:rsidRPr="00942077">
        <w:rPr>
          <w:rFonts w:hint="cs"/>
          <w:rtl/>
        </w:rPr>
        <w:t xml:space="preserve"> </w:t>
      </w:r>
      <w:r w:rsidRPr="00942077">
        <w:rPr>
          <w:rtl/>
        </w:rPr>
        <w:t>לקבל, בהתאם לחוק חופש המידע, התשנ"ח-1998 (להלן</w:t>
      </w:r>
      <w:r w:rsidRPr="00942077">
        <w:rPr>
          <w:rFonts w:hint="cs"/>
          <w:rtl/>
        </w:rPr>
        <w:t xml:space="preserve"> </w:t>
      </w:r>
      <w:r w:rsidRPr="00942077">
        <w:rPr>
          <w:rtl/>
        </w:rPr>
        <w:t xml:space="preserve">- </w:t>
      </w:r>
      <w:r w:rsidRPr="00196CE7">
        <w:rPr>
          <w:rtl/>
        </w:rPr>
        <w:t>חוק חופש המידע</w:t>
      </w:r>
      <w:r w:rsidRPr="00942077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335BC">
        <w:rPr>
          <w:rFonts w:hint="cs"/>
          <w:rtl/>
        </w:rPr>
        <w:t xml:space="preserve">את פירוט ההליכים </w:t>
      </w:r>
      <w:r w:rsidR="00F335BC" w:rsidRPr="00196CE7">
        <w:rPr>
          <w:rtl/>
        </w:rPr>
        <w:t>(מספרי הליך, צדדים ותאריך פתיחה) שרשות</w:t>
      </w:r>
      <w:r w:rsidR="00F335BC">
        <w:rPr>
          <w:rFonts w:hint="cs"/>
          <w:rtl/>
        </w:rPr>
        <w:t xml:space="preserve"> שוק ההון, ביטוח וחיסכון</w:t>
      </w:r>
      <w:r w:rsidR="00755682">
        <w:rPr>
          <w:rFonts w:hint="cs"/>
          <w:rtl/>
        </w:rPr>
        <w:t xml:space="preserve"> (להלן </w:t>
      </w:r>
      <w:r w:rsidR="00755682">
        <w:rPr>
          <w:rtl/>
        </w:rPr>
        <w:t>–</w:t>
      </w:r>
      <w:r w:rsidR="00755682">
        <w:rPr>
          <w:rFonts w:hint="cs"/>
          <w:rtl/>
        </w:rPr>
        <w:t xml:space="preserve"> "</w:t>
      </w:r>
      <w:r w:rsidR="00755682" w:rsidRPr="00196CE7">
        <w:rPr>
          <w:rFonts w:hint="eastAsia"/>
          <w:b/>
          <w:bCs/>
          <w:rtl/>
        </w:rPr>
        <w:t>הרשות</w:t>
      </w:r>
      <w:r w:rsidR="00755682">
        <w:rPr>
          <w:rFonts w:hint="cs"/>
          <w:rtl/>
        </w:rPr>
        <w:t>")</w:t>
      </w:r>
      <w:r w:rsidR="00F335BC">
        <w:rPr>
          <w:rFonts w:hint="cs"/>
          <w:rtl/>
        </w:rPr>
        <w:t>,</w:t>
      </w:r>
      <w:r w:rsidR="00F335BC" w:rsidRPr="00196CE7">
        <w:rPr>
          <w:rtl/>
        </w:rPr>
        <w:t xml:space="preserve"> </w:t>
      </w:r>
      <w:proofErr w:type="spellStart"/>
      <w:r w:rsidR="00F335BC" w:rsidRPr="00196CE7">
        <w:rPr>
          <w:rtl/>
        </w:rPr>
        <w:t>היתה</w:t>
      </w:r>
      <w:proofErr w:type="spellEnd"/>
      <w:r w:rsidR="00F335BC" w:rsidRPr="00196CE7">
        <w:rPr>
          <w:rtl/>
        </w:rPr>
        <w:t xml:space="preserve"> להם צד בבית המשפט העליון (מנהלי ואזרחי בלבד) ובעתירות מנהליות לבתי המשפט המחוזיים</w:t>
      </w:r>
      <w:r w:rsidR="00196CE7">
        <w:rPr>
          <w:rFonts w:hint="cs"/>
          <w:rtl/>
        </w:rPr>
        <w:t xml:space="preserve"> (להלן </w:t>
      </w:r>
      <w:r w:rsidR="00196CE7">
        <w:rPr>
          <w:rtl/>
        </w:rPr>
        <w:t>–</w:t>
      </w:r>
      <w:r w:rsidR="00196CE7">
        <w:rPr>
          <w:rFonts w:hint="cs"/>
          <w:rtl/>
        </w:rPr>
        <w:t xml:space="preserve"> "ההליכים </w:t>
      </w:r>
      <w:proofErr w:type="spellStart"/>
      <w:r w:rsidR="00196CE7">
        <w:rPr>
          <w:rFonts w:hint="cs"/>
          <w:rtl/>
        </w:rPr>
        <w:t>המינהליים</w:t>
      </w:r>
      <w:proofErr w:type="spellEnd"/>
      <w:r w:rsidR="00196CE7">
        <w:rPr>
          <w:rFonts w:hint="cs"/>
          <w:rtl/>
        </w:rPr>
        <w:t>")</w:t>
      </w:r>
      <w:r w:rsidR="00F335BC" w:rsidRPr="00196CE7">
        <w:rPr>
          <w:rtl/>
        </w:rPr>
        <w:t xml:space="preserve">. זאת לרבות סטטוס התיק, כתבי הטענות בו והחלטות ופסק הדין – ככל שניתן. </w:t>
      </w:r>
    </w:p>
    <w:p w:rsidR="00F335BC" w:rsidRDefault="00F335BC" w:rsidP="00196CE7">
      <w:pPr>
        <w:pStyle w:val="a7"/>
        <w:numPr>
          <w:ilvl w:val="0"/>
          <w:numId w:val="8"/>
        </w:numPr>
      </w:pPr>
      <w:r>
        <w:rPr>
          <w:rFonts w:hint="cs"/>
          <w:rtl/>
        </w:rPr>
        <w:t xml:space="preserve">בהמשך לפנייתך, שוחחנו טלפונית, ובמסגרת שיחה זו סוכם כי בשלב זה, יועבר אליכם קובץ המרכז את רשימת ההליכים </w:t>
      </w:r>
      <w:proofErr w:type="spellStart"/>
      <w:r>
        <w:rPr>
          <w:rFonts w:hint="cs"/>
          <w:rtl/>
        </w:rPr>
        <w:t>המינהליים</w:t>
      </w:r>
      <w:proofErr w:type="spellEnd"/>
      <w:r>
        <w:rPr>
          <w:rFonts w:hint="cs"/>
          <w:rtl/>
        </w:rPr>
        <w:t xml:space="preserve"> שהרשות </w:t>
      </w:r>
      <w:bookmarkStart w:id="3" w:name="_GoBack"/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צד להם, וזאת </w:t>
      </w:r>
      <w:bookmarkEnd w:id="3"/>
      <w:r>
        <w:rPr>
          <w:rFonts w:hint="cs"/>
          <w:rtl/>
        </w:rPr>
        <w:t xml:space="preserve">החל ממועד הקמת הרשות. בהתאם לסיכום האמור, מצורף הקובץ המרכז, אשר כולל את כל ההליכים שהובאו לידיעת הלשכה המשפטית ברשות. </w:t>
      </w:r>
    </w:p>
    <w:p w:rsidR="00680ECB" w:rsidRPr="00942077" w:rsidRDefault="00680ECB" w:rsidP="00196CE7">
      <w:pPr>
        <w:pStyle w:val="a7"/>
        <w:numPr>
          <w:ilvl w:val="0"/>
          <w:numId w:val="8"/>
        </w:numPr>
      </w:pPr>
      <w:r w:rsidRPr="00942077">
        <w:rPr>
          <w:rFonts w:ascii="David" w:hAnsi="David"/>
          <w:rtl/>
        </w:rPr>
        <w:t>בהתאם לסעיף</w:t>
      </w:r>
      <w:r w:rsidRPr="00942077">
        <w:rPr>
          <w:rFonts w:ascii="David" w:hAnsi="David" w:hint="cs"/>
          <w:rtl/>
        </w:rPr>
        <w:t xml:space="preserve"> 7(ו)</w:t>
      </w:r>
      <w:r w:rsidRPr="00942077">
        <w:rPr>
          <w:rFonts w:ascii="David" w:hAnsi="David"/>
          <w:rtl/>
        </w:rPr>
        <w:t xml:space="preserve"> לחוק</w:t>
      </w:r>
      <w:r w:rsidRPr="00942077">
        <w:rPr>
          <w:rFonts w:ascii="David" w:hAnsi="David" w:hint="cs"/>
          <w:rtl/>
        </w:rPr>
        <w:t xml:space="preserve"> חופש המידע</w:t>
      </w:r>
      <w:r w:rsidRPr="00942077">
        <w:rPr>
          <w:rFonts w:ascii="David" w:hAnsi="David"/>
          <w:rtl/>
        </w:rPr>
        <w:t>, הריני להודיעך על זכותך לעתור נגד החלטה זו לבית המשפט לעניינים מנהליים בירושלים</w:t>
      </w:r>
      <w:r w:rsidRPr="00942077">
        <w:rPr>
          <w:rFonts w:hint="cs"/>
          <w:rtl/>
        </w:rPr>
        <w:t>.</w:t>
      </w:r>
    </w:p>
    <w:p w:rsidR="00680ECB" w:rsidRDefault="00680ECB" w:rsidP="00680ECB">
      <w:pPr>
        <w:pStyle w:val="a7"/>
        <w:ind w:left="2880" w:firstLine="720"/>
        <w:jc w:val="center"/>
        <w:rPr>
          <w:rtl/>
        </w:rPr>
      </w:pPr>
      <w:r>
        <w:rPr>
          <w:rFonts w:hint="cs"/>
          <w:rtl/>
        </w:rPr>
        <w:t>בכבוד רב,</w:t>
      </w:r>
    </w:p>
    <w:p w:rsidR="00680ECB" w:rsidRDefault="00680ECB" w:rsidP="00680ECB">
      <w:pPr>
        <w:pStyle w:val="a7"/>
        <w:ind w:left="3600"/>
        <w:jc w:val="center"/>
        <w:rPr>
          <w:rtl/>
        </w:rPr>
      </w:pPr>
      <w:r w:rsidRPr="00CE5463">
        <w:rPr>
          <w:noProof/>
        </w:rPr>
        <w:drawing>
          <wp:inline distT="0" distB="0" distL="0" distR="0" wp14:anchorId="43538D95" wp14:editId="776B580E">
            <wp:extent cx="711200" cy="284480"/>
            <wp:effectExtent l="0" t="0" r="0" b="1270"/>
            <wp:docPr id="3" name="תמונה 3" descr="sign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_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8" cy="2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CB" w:rsidRPr="00CE5463" w:rsidRDefault="00680ECB" w:rsidP="00680ECB">
      <w:pPr>
        <w:pStyle w:val="a7"/>
        <w:ind w:left="2880" w:firstLine="720"/>
        <w:jc w:val="center"/>
        <w:rPr>
          <w:rtl/>
        </w:rPr>
      </w:pPr>
      <w:r w:rsidRPr="00CE5463">
        <w:rPr>
          <w:rFonts w:hint="cs"/>
          <w:rtl/>
        </w:rPr>
        <w:t>ליאת שטרק, עו"ד</w:t>
      </w:r>
    </w:p>
    <w:p w:rsidR="00680ECB" w:rsidRDefault="00680ECB" w:rsidP="00680ECB">
      <w:pPr>
        <w:pStyle w:val="a7"/>
        <w:ind w:left="2880" w:firstLine="720"/>
        <w:jc w:val="center"/>
        <w:rPr>
          <w:rtl/>
        </w:rPr>
      </w:pPr>
      <w:r w:rsidRPr="00CE5463">
        <w:rPr>
          <w:rFonts w:hint="cs"/>
          <w:rtl/>
        </w:rPr>
        <w:t>ממונה על חופש המידע</w:t>
      </w:r>
    </w:p>
    <w:p w:rsidR="00507FAB" w:rsidRDefault="00507FAB" w:rsidP="00507FAB">
      <w:pPr>
        <w:spacing w:line="25" w:lineRule="atLeast"/>
        <w:rPr>
          <w:rtl/>
        </w:rPr>
      </w:pPr>
    </w:p>
    <w:p w:rsidR="00507FAB" w:rsidRDefault="00507FAB" w:rsidP="00680ECB">
      <w:pPr>
        <w:spacing w:line="25" w:lineRule="atLeast"/>
        <w:rPr>
          <w:rtl/>
        </w:rPr>
      </w:pPr>
    </w:p>
    <w:p w:rsidR="00196CE7" w:rsidRPr="0007311F" w:rsidRDefault="00196CE7" w:rsidP="00507FAB">
      <w:pPr>
        <w:spacing w:line="25" w:lineRule="atLeast"/>
        <w:jc w:val="both"/>
        <w:rPr>
          <w:szCs w:val="20"/>
          <w:rtl/>
        </w:rPr>
      </w:pPr>
    </w:p>
    <w:sectPr w:rsidR="00196CE7" w:rsidRPr="0007311F" w:rsidSect="002973B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pgSz w:w="11906" w:h="16838"/>
      <w:pgMar w:top="1418" w:right="1134" w:bottom="1418" w:left="1134" w:header="284" w:footer="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D2" w:rsidRDefault="000F51D2">
      <w:r>
        <w:separator/>
      </w:r>
    </w:p>
  </w:endnote>
  <w:endnote w:type="continuationSeparator" w:id="0">
    <w:p w:rsidR="000F51D2" w:rsidRDefault="000F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FB" w:rsidRDefault="009435A5">
    <w:pPr>
      <w:pStyle w:val="aa"/>
      <w:framePr w:wrap="around" w:vAnchor="text" w:hAnchor="margin" w:xAlign="center" w:y="1"/>
      <w:rPr>
        <w:rStyle w:val="ac"/>
        <w:rtl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:rsidR="00BE67FB" w:rsidRDefault="006037D1">
    <w:pPr>
      <w:pStyle w:val="aa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Pr="00060494" w:rsidRDefault="002973B2" w:rsidP="002973B2">
    <w:pPr>
      <w:pStyle w:val="aa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  <w:rtl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Pr="00060494" w:rsidRDefault="002973B2" w:rsidP="002973B2">
    <w:pPr>
      <w:pStyle w:val="aa"/>
      <w:pBdr>
        <w:top w:val="single" w:sz="4" w:space="1" w:color="auto"/>
      </w:pBdr>
      <w:tabs>
        <w:tab w:val="clear" w:pos="4153"/>
        <w:tab w:val="clear" w:pos="8306"/>
        <w:tab w:val="center" w:pos="4780"/>
        <w:tab w:val="right" w:pos="9666"/>
      </w:tabs>
      <w:spacing w:line="480" w:lineRule="auto"/>
      <w:jc w:val="both"/>
      <w:rPr>
        <w:rFonts w:cs="Times New Roman"/>
        <w:b/>
        <w:bCs/>
        <w:sz w:val="24"/>
        <w:u w:val="single"/>
      </w:rPr>
    </w:pPr>
    <w:r w:rsidRPr="00060494">
      <w:rPr>
        <w:rFonts w:hint="cs"/>
        <w:b/>
        <w:bCs/>
        <w:rtl/>
      </w:rPr>
      <w:t xml:space="preserve">רח' עם ועולמו 4 ירושלים </w:t>
    </w:r>
    <w:r w:rsidRPr="00060494">
      <w:rPr>
        <w:b/>
        <w:bCs/>
        <w:rtl/>
      </w:rPr>
      <w:t>9546304</w:t>
    </w:r>
    <w:r w:rsidRPr="00060494">
      <w:rPr>
        <w:rFonts w:hint="cs"/>
        <w:b/>
        <w:bCs/>
        <w:rtl/>
      </w:rPr>
      <w:t xml:space="preserve"> טל': 02-5317248 פקס': 02-5695342 </w:t>
    </w:r>
    <w:r w:rsidRPr="00060494">
      <w:rPr>
        <w:b/>
        <w:bCs/>
        <w:rtl/>
      </w:rPr>
      <w:br/>
    </w:r>
    <w:r>
      <w:rPr>
        <w:b/>
        <w:bCs/>
      </w:rPr>
      <w:tab/>
    </w:r>
    <w:hyperlink r:id="rId1" w:history="1">
      <w:r w:rsidRPr="00435323">
        <w:rPr>
          <w:rStyle w:val="Hyperlink"/>
          <w:b/>
          <w:bCs/>
        </w:rPr>
        <w:t>www.mof.gov.il/hon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D2" w:rsidRDefault="000F51D2">
      <w:r>
        <w:separator/>
      </w:r>
    </w:p>
  </w:footnote>
  <w:footnote w:type="continuationSeparator" w:id="0">
    <w:p w:rsidR="000F51D2" w:rsidRDefault="000F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69651144"/>
      <w:docPartObj>
        <w:docPartGallery w:val="Page Numbers (Top of Page)"/>
        <w:docPartUnique/>
      </w:docPartObj>
    </w:sdtPr>
    <w:sdtEndPr>
      <w:rPr>
        <w:cs/>
      </w:rPr>
    </w:sdtEndPr>
    <w:sdtContent>
      <w:p w:rsidR="0007311F" w:rsidRDefault="009435A5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96CE7" w:rsidRPr="00196CE7">
          <w:rPr>
            <w:noProof/>
            <w:rtl/>
            <w:lang w:val="he-IL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B2" w:rsidRDefault="00233FC8" w:rsidP="002973B2">
    <w:pPr>
      <w:pStyle w:val="a8"/>
      <w:jc w:val="center"/>
      <w:rPr>
        <w:b/>
        <w:bCs/>
        <w:szCs w:val="36"/>
        <w:rtl/>
      </w:rPr>
    </w:pPr>
    <w:r w:rsidRPr="00233FC8">
      <w:rPr>
        <w:b/>
        <w:bCs/>
        <w:noProof/>
        <w:szCs w:val="36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269875</wp:posOffset>
          </wp:positionV>
          <wp:extent cx="913765" cy="747395"/>
          <wp:effectExtent l="0" t="0" r="635" b="0"/>
          <wp:wrapNone/>
          <wp:docPr id="1" name="Samlil70" title="סמליל 70 ל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לבן שקוף גדו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73B2">
      <w:rPr>
        <w:rFonts w:hint="cs"/>
        <w:b/>
        <w:bCs/>
        <w:noProof/>
        <w:szCs w:val="36"/>
        <w:lang w:eastAsia="en-US"/>
      </w:rPr>
      <w:drawing>
        <wp:inline distT="0" distB="0" distL="0" distR="0" wp14:anchorId="53FCFEC8" wp14:editId="2BC72922">
          <wp:extent cx="563056" cy="446228"/>
          <wp:effectExtent l="0" t="0" r="0" b="0"/>
          <wp:docPr id="9" name="תמונה 9" descr="C:\Users\Shabed\Desktop\לוגו-ללא-טקס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bed\Desktop\לוגו-ללא-טקסט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4" t="23133" r="15750" b="20365"/>
                  <a:stretch/>
                </pic:blipFill>
                <pic:spPr bwMode="auto">
                  <a:xfrm>
                    <a:off x="0" y="0"/>
                    <a:ext cx="564078" cy="44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76B14" w:rsidRDefault="00276B14" w:rsidP="002973B2">
    <w:pPr>
      <w:pStyle w:val="a8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מדינת ישראל</w:t>
    </w:r>
  </w:p>
  <w:p w:rsidR="002973B2" w:rsidRDefault="002973B2" w:rsidP="002973B2">
    <w:pPr>
      <w:pStyle w:val="a8"/>
      <w:pBdr>
        <w:bottom w:val="single" w:sz="12" w:space="1" w:color="auto"/>
      </w:pBdr>
      <w:jc w:val="center"/>
      <w:rPr>
        <w:b/>
        <w:bCs/>
        <w:szCs w:val="32"/>
        <w:rtl/>
      </w:rPr>
    </w:pPr>
    <w:r>
      <w:rPr>
        <w:rFonts w:hint="cs"/>
        <w:b/>
        <w:bCs/>
        <w:szCs w:val="32"/>
        <w:rtl/>
      </w:rPr>
      <w:t>רשות</w:t>
    </w:r>
    <w:r>
      <w:rPr>
        <w:b/>
        <w:bCs/>
        <w:szCs w:val="32"/>
        <w:rtl/>
      </w:rPr>
      <w:t xml:space="preserve"> שוק ההון, ביטוח וחיסכון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D37"/>
    <w:multiLevelType w:val="multilevel"/>
    <w:tmpl w:val="2C7611E6"/>
    <w:numStyleLink w:val="-0"/>
  </w:abstractNum>
  <w:abstractNum w:abstractNumId="4" w15:restartNumberingAfterBreak="0">
    <w:nsid w:val="305A1BD6"/>
    <w:multiLevelType w:val="multilevel"/>
    <w:tmpl w:val="FA6CC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77D4CEE"/>
    <w:multiLevelType w:val="multilevel"/>
    <w:tmpl w:val="2C7611E6"/>
    <w:numStyleLink w:val="-0"/>
  </w:abstractNum>
  <w:abstractNum w:abstractNumId="6" w15:restartNumberingAfterBreak="0">
    <w:nsid w:val="52C63965"/>
    <w:multiLevelType w:val="multilevel"/>
    <w:tmpl w:val="CB2CFB36"/>
    <w:numStyleLink w:val="-"/>
  </w:abstractNum>
  <w:abstractNum w:abstractNumId="7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A5"/>
    <w:rsid w:val="00014182"/>
    <w:rsid w:val="00047C97"/>
    <w:rsid w:val="000520B7"/>
    <w:rsid w:val="000568CE"/>
    <w:rsid w:val="00066383"/>
    <w:rsid w:val="00093B9D"/>
    <w:rsid w:val="000C04AE"/>
    <w:rsid w:val="000E102C"/>
    <w:rsid w:val="000E6098"/>
    <w:rsid w:val="000E632C"/>
    <w:rsid w:val="000F51D2"/>
    <w:rsid w:val="0010326C"/>
    <w:rsid w:val="001611C6"/>
    <w:rsid w:val="00164B30"/>
    <w:rsid w:val="0018292D"/>
    <w:rsid w:val="00196CE7"/>
    <w:rsid w:val="001A7C42"/>
    <w:rsid w:val="001C4F6D"/>
    <w:rsid w:val="001D55DD"/>
    <w:rsid w:val="001E548A"/>
    <w:rsid w:val="00233FC8"/>
    <w:rsid w:val="0023758B"/>
    <w:rsid w:val="00274CF7"/>
    <w:rsid w:val="00275887"/>
    <w:rsid w:val="00276B14"/>
    <w:rsid w:val="002973B2"/>
    <w:rsid w:val="002A54A3"/>
    <w:rsid w:val="002A7FEA"/>
    <w:rsid w:val="002E38F4"/>
    <w:rsid w:val="002F197C"/>
    <w:rsid w:val="00325E01"/>
    <w:rsid w:val="00361114"/>
    <w:rsid w:val="003840FE"/>
    <w:rsid w:val="00393C6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65A1"/>
    <w:rsid w:val="004E479D"/>
    <w:rsid w:val="004F3773"/>
    <w:rsid w:val="005028F9"/>
    <w:rsid w:val="00505D36"/>
    <w:rsid w:val="00507FAB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037D1"/>
    <w:rsid w:val="006309B0"/>
    <w:rsid w:val="00650881"/>
    <w:rsid w:val="0066664E"/>
    <w:rsid w:val="00680ECB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35D55"/>
    <w:rsid w:val="00743847"/>
    <w:rsid w:val="00751B50"/>
    <w:rsid w:val="00755682"/>
    <w:rsid w:val="00757313"/>
    <w:rsid w:val="00757879"/>
    <w:rsid w:val="007611DA"/>
    <w:rsid w:val="00774059"/>
    <w:rsid w:val="00793E5C"/>
    <w:rsid w:val="007A373A"/>
    <w:rsid w:val="007D4118"/>
    <w:rsid w:val="007E2692"/>
    <w:rsid w:val="0080160A"/>
    <w:rsid w:val="0081150D"/>
    <w:rsid w:val="0082739B"/>
    <w:rsid w:val="00864DB3"/>
    <w:rsid w:val="00867AE5"/>
    <w:rsid w:val="00870D8A"/>
    <w:rsid w:val="008B39D7"/>
    <w:rsid w:val="008E77BE"/>
    <w:rsid w:val="00910BC9"/>
    <w:rsid w:val="00915C9A"/>
    <w:rsid w:val="00935E81"/>
    <w:rsid w:val="009435A5"/>
    <w:rsid w:val="00950363"/>
    <w:rsid w:val="00986444"/>
    <w:rsid w:val="00990A24"/>
    <w:rsid w:val="009B64FE"/>
    <w:rsid w:val="009E52B5"/>
    <w:rsid w:val="009F7F7A"/>
    <w:rsid w:val="00A15876"/>
    <w:rsid w:val="00A15D5D"/>
    <w:rsid w:val="00A30921"/>
    <w:rsid w:val="00A5751E"/>
    <w:rsid w:val="00A67A4F"/>
    <w:rsid w:val="00A7396A"/>
    <w:rsid w:val="00A73972"/>
    <w:rsid w:val="00A84333"/>
    <w:rsid w:val="00A84658"/>
    <w:rsid w:val="00AA4752"/>
    <w:rsid w:val="00AD0167"/>
    <w:rsid w:val="00AE61FE"/>
    <w:rsid w:val="00AF1C47"/>
    <w:rsid w:val="00B03E2B"/>
    <w:rsid w:val="00B041F7"/>
    <w:rsid w:val="00B311D4"/>
    <w:rsid w:val="00B429D7"/>
    <w:rsid w:val="00B60EE6"/>
    <w:rsid w:val="00B63645"/>
    <w:rsid w:val="00B67385"/>
    <w:rsid w:val="00B93390"/>
    <w:rsid w:val="00B93A25"/>
    <w:rsid w:val="00BB3047"/>
    <w:rsid w:val="00BB393A"/>
    <w:rsid w:val="00BD67E7"/>
    <w:rsid w:val="00C01906"/>
    <w:rsid w:val="00C171DC"/>
    <w:rsid w:val="00C27AC8"/>
    <w:rsid w:val="00C37F33"/>
    <w:rsid w:val="00C7714B"/>
    <w:rsid w:val="00C84ABA"/>
    <w:rsid w:val="00CA61AF"/>
    <w:rsid w:val="00CB40A4"/>
    <w:rsid w:val="00CB4629"/>
    <w:rsid w:val="00CC356E"/>
    <w:rsid w:val="00CD6DB8"/>
    <w:rsid w:val="00CE0517"/>
    <w:rsid w:val="00CF44BB"/>
    <w:rsid w:val="00D228D7"/>
    <w:rsid w:val="00D33979"/>
    <w:rsid w:val="00D66453"/>
    <w:rsid w:val="00D731DA"/>
    <w:rsid w:val="00D969C1"/>
    <w:rsid w:val="00DD5320"/>
    <w:rsid w:val="00DE069A"/>
    <w:rsid w:val="00DE7CC8"/>
    <w:rsid w:val="00DF73FF"/>
    <w:rsid w:val="00E34D1B"/>
    <w:rsid w:val="00E41B31"/>
    <w:rsid w:val="00E56588"/>
    <w:rsid w:val="00E92BBF"/>
    <w:rsid w:val="00E95EEF"/>
    <w:rsid w:val="00EA6729"/>
    <w:rsid w:val="00EC303E"/>
    <w:rsid w:val="00EF71D7"/>
    <w:rsid w:val="00F00D41"/>
    <w:rsid w:val="00F0592A"/>
    <w:rsid w:val="00F25ABF"/>
    <w:rsid w:val="00F335BC"/>
    <w:rsid w:val="00F509E4"/>
    <w:rsid w:val="00F74EF7"/>
    <w:rsid w:val="00F80DA7"/>
    <w:rsid w:val="00F975CB"/>
    <w:rsid w:val="00FD7A54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063EB6A"/>
  <w15:docId w15:val="{15B16F67-D098-41AE-873B-88D706E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A5"/>
    <w:pPr>
      <w:overflowPunct w:val="0"/>
      <w:autoSpaceDE w:val="0"/>
      <w:autoSpaceDN w:val="0"/>
      <w:bidi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0"/>
    </w:pPr>
    <w:rPr>
      <w:rFonts w:eastAsiaTheme="minorHAnsi"/>
      <w:b/>
      <w:bCs/>
      <w:caps/>
      <w:spacing w:val="1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overflowPunct/>
      <w:autoSpaceDE/>
      <w:autoSpaceDN/>
      <w:adjustRightInd/>
      <w:spacing w:before="120" w:line="360" w:lineRule="auto"/>
      <w:jc w:val="both"/>
      <w:textAlignment w:val="auto"/>
      <w:outlineLvl w:val="1"/>
    </w:pPr>
    <w:rPr>
      <w:rFonts w:eastAsiaTheme="minorHAnsi"/>
      <w:b/>
      <w:bCs/>
      <w:caps/>
      <w:spacing w:val="1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2"/>
    </w:pPr>
    <w:rPr>
      <w:rFonts w:eastAsiaTheme="minorHAnsi"/>
      <w:bCs/>
      <w:caps/>
      <w:spacing w:val="15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3"/>
    </w:pPr>
    <w:rPr>
      <w:rFonts w:eastAsiaTheme="minorHAnsi"/>
      <w:b/>
      <w:bCs/>
      <w:caps/>
      <w:spacing w:val="1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4"/>
    </w:pPr>
    <w:rPr>
      <w:rFonts w:eastAsiaTheme="minorHAnsi"/>
      <w:b/>
      <w:bCs/>
      <w:caps/>
      <w:spacing w:val="1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5"/>
    </w:pPr>
    <w:rPr>
      <w:rFonts w:eastAsiaTheme="minorHAnsi"/>
      <w:b/>
      <w:bCs/>
      <w:caps/>
      <w:spacing w:val="10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6"/>
    </w:pPr>
    <w:rPr>
      <w:rFonts w:eastAsiaTheme="minorHAnsi"/>
      <w:b/>
      <w:bCs/>
      <w:caps/>
      <w:spacing w:val="10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7"/>
    </w:pPr>
    <w:rPr>
      <w:rFonts w:eastAsiaTheme="minorHAns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overflowPunct/>
      <w:autoSpaceDE/>
      <w:autoSpaceDN/>
      <w:bidi w:val="0"/>
      <w:adjustRightInd/>
      <w:spacing w:before="300" w:line="360" w:lineRule="auto"/>
      <w:jc w:val="both"/>
      <w:textAlignment w:val="auto"/>
      <w:outlineLvl w:val="8"/>
    </w:pPr>
    <w:rPr>
      <w:rFonts w:eastAsiaTheme="minorHAnsi"/>
      <w:i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overflowPunct/>
      <w:autoSpaceDE/>
      <w:autoSpaceDN/>
      <w:adjustRightInd/>
      <w:spacing w:before="120" w:after="120" w:line="360" w:lineRule="auto"/>
      <w:ind w:left="567" w:right="567"/>
      <w:jc w:val="both"/>
      <w:textAlignment w:val="auto"/>
    </w:pPr>
    <w:rPr>
      <w:rFonts w:eastAsiaTheme="minorHAnsi"/>
      <w:i/>
      <w:iCs/>
      <w:sz w:val="24"/>
      <w:lang w:eastAsia="en-US"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overflowPunct/>
      <w:autoSpaceDE/>
      <w:autoSpaceDN/>
      <w:bidi w:val="0"/>
      <w:adjustRightInd/>
      <w:spacing w:before="120" w:after="120" w:line="360" w:lineRule="auto"/>
      <w:jc w:val="both"/>
      <w:textAlignment w:val="auto"/>
    </w:pPr>
    <w:rPr>
      <w:rFonts w:eastAsiaTheme="minorHAnsi"/>
      <w:b/>
      <w:bCs/>
      <w:color w:val="365F91" w:themeColor="accent1" w:themeShade="BF"/>
      <w:sz w:val="16"/>
      <w:szCs w:val="16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482"/>
      <w:jc w:val="both"/>
      <w:textAlignment w:val="auto"/>
    </w:pPr>
    <w:rPr>
      <w:rFonts w:eastAsiaTheme="minorHAnsi"/>
      <w:sz w:val="24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jc w:val="both"/>
      <w:textAlignment w:val="auto"/>
    </w:pPr>
    <w:rPr>
      <w:rFonts w:eastAsiaTheme="minorHAnsi"/>
      <w:sz w:val="24"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238"/>
      <w:jc w:val="both"/>
      <w:textAlignment w:val="auto"/>
    </w:pPr>
    <w:rPr>
      <w:rFonts w:eastAsiaTheme="minorHAnsi"/>
      <w:sz w:val="24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440"/>
      <w:jc w:val="both"/>
      <w:textAlignment w:val="auto"/>
    </w:pPr>
    <w:rPr>
      <w:rFonts w:eastAsiaTheme="minorHAnsi"/>
      <w:sz w:val="24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1202"/>
      <w:contextualSpacing/>
      <w:jc w:val="both"/>
      <w:textAlignment w:val="auto"/>
    </w:pPr>
    <w:rPr>
      <w:rFonts w:eastAsiaTheme="minorHAnsi"/>
      <w:sz w:val="24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overflowPunct/>
      <w:autoSpaceDE/>
      <w:autoSpaceDN/>
      <w:adjustRightInd/>
      <w:spacing w:before="100" w:after="100"/>
      <w:ind w:left="958"/>
      <w:jc w:val="both"/>
      <w:textAlignment w:val="auto"/>
    </w:pPr>
    <w:rPr>
      <w:rFonts w:eastAsiaTheme="minorHAnsi"/>
      <w:sz w:val="24"/>
      <w:lang w:eastAsia="en-US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overflowPunct/>
      <w:autoSpaceDE/>
      <w:autoSpaceDN/>
      <w:adjustRightInd/>
      <w:spacing w:before="100" w:after="100"/>
      <w:ind w:left="720"/>
      <w:jc w:val="both"/>
      <w:textAlignment w:val="auto"/>
    </w:pPr>
    <w:rPr>
      <w:rFonts w:eastAsiaTheme="minorHAnsi"/>
      <w:sz w:val="24"/>
      <w:lang w:eastAsia="en-US"/>
    </w:rPr>
  </w:style>
  <w:style w:type="paragraph" w:styleId="a7">
    <w:name w:val="List Paragraph"/>
    <w:basedOn w:val="a"/>
    <w:uiPriority w:val="34"/>
    <w:qFormat/>
    <w:rsid w:val="00FE3193"/>
    <w:pPr>
      <w:overflowPunct/>
      <w:autoSpaceDE/>
      <w:autoSpaceDN/>
      <w:adjustRightInd/>
      <w:spacing w:before="120" w:after="120" w:line="360" w:lineRule="auto"/>
      <w:ind w:left="720"/>
      <w:contextualSpacing/>
      <w:jc w:val="both"/>
      <w:textAlignment w:val="auto"/>
    </w:pPr>
    <w:rPr>
      <w:rFonts w:eastAsiaTheme="minorHAnsi"/>
      <w:sz w:val="24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8">
    <w:name w:val="header"/>
    <w:basedOn w:val="a"/>
    <w:link w:val="a9"/>
    <w:uiPriority w:val="99"/>
    <w:rsid w:val="009435A5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basedOn w:val="a0"/>
    <w:link w:val="a8"/>
    <w:uiPriority w:val="99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a">
    <w:name w:val="footer"/>
    <w:basedOn w:val="a"/>
    <w:link w:val="ab"/>
    <w:rsid w:val="009435A5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rsid w:val="009435A5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rsid w:val="009435A5"/>
    <w:rPr>
      <w:color w:val="0000FF"/>
      <w:u w:val="single"/>
    </w:rPr>
  </w:style>
  <w:style w:type="character" w:styleId="ac">
    <w:name w:val="page number"/>
    <w:basedOn w:val="a0"/>
    <w:rsid w:val="009435A5"/>
  </w:style>
  <w:style w:type="paragraph" w:styleId="ad">
    <w:name w:val="Balloon Text"/>
    <w:basedOn w:val="a"/>
    <w:link w:val="ae"/>
    <w:uiPriority w:val="99"/>
    <w:semiHidden/>
    <w:unhideWhenUsed/>
    <w:rsid w:val="009435A5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9435A5"/>
    <w:rPr>
      <w:rFonts w:ascii="Tahoma" w:eastAsia="Times New Roman" w:hAnsi="Tahoma" w:cs="Tahoma"/>
      <w:sz w:val="16"/>
      <w:szCs w:val="16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274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kh92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lad@man-barak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il/h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A676-DF64-49EB-AB31-23E604D2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יצחק זרביב</dc:creator>
  <cp:lastModifiedBy>ליאת שטרק</cp:lastModifiedBy>
  <cp:revision>24</cp:revision>
  <dcterms:created xsi:type="dcterms:W3CDTF">2012-07-26T09:01:00Z</dcterms:created>
  <dcterms:modified xsi:type="dcterms:W3CDTF">2019-02-07T08:44:00Z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notes://MAOR2/Doc/Shuk_hon/hondocNew4.nsf/0/45D2A424B8533484C2258393003A0D70/?OpenDocument</vt:lpwstr>
  </property>
  <property fmtid="{D5CDD505-2E9C-101B-9397-08002B2CF9AE}" pid="3" name="MaorRecipients0">
    <vt:lpwstr>liatst@mof.gov.il</vt:lpwstr>
  </property>
</Properties>
</file>