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46" w:rsidRDefault="00542FA7" w:rsidP="00D12EE8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  <w:r w:rsidR="00D12EE8">
        <w:rPr>
          <w:rFonts w:ascii="David" w:hAnsi="David" w:cs="David" w:hint="eastAsia"/>
          <w:sz w:val="28"/>
          <w:rtl/>
          <w:lang w:bidi="he-IL"/>
        </w:rPr>
        <w:t>‏י</w:t>
      </w:r>
      <w:r w:rsidR="00D12EE8">
        <w:rPr>
          <w:rFonts w:ascii="David" w:hAnsi="David" w:cs="David"/>
          <w:sz w:val="28"/>
          <w:rtl/>
          <w:lang w:bidi="he-IL"/>
        </w:rPr>
        <w:t>"א אב תשפ"א</w:t>
      </w:r>
    </w:p>
    <w:p w:rsidR="00D12EE8" w:rsidRDefault="00D12EE8" w:rsidP="00D12EE8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20 יולי 2021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621A20" w:rsidRDefault="00D12EE8" w:rsidP="00C85F4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</w:t>
      </w:r>
    </w:p>
    <w:p w:rsidR="00D12EE8" w:rsidRDefault="00D12EE8" w:rsidP="00D12EE8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BA229C" w:rsidRDefault="00542FA7" w:rsidP="00D12EE8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D12EE8" w:rsidRPr="00C33468">
          <w:rPr>
            <w:rStyle w:val="Hyperlink"/>
            <w:rFonts w:cs="David"/>
            <w:lang w:bidi="he-IL"/>
          </w:rPr>
          <w:t>elad@man-barak.com</w:t>
        </w:r>
      </w:hyperlink>
      <w:r w:rsidR="00D12EE8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D12EE8" w:rsidRDefault="00C85F46" w:rsidP="00D12EE8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D12EE8">
        <w:rPr>
          <w:rFonts w:ascii="David" w:hAnsi="David" w:cs="David" w:hint="cs"/>
          <w:sz w:val="28"/>
          <w:rtl/>
          <w:lang w:bidi="he-IL"/>
        </w:rPr>
        <w:t>07.07.2021</w:t>
      </w:r>
    </w:p>
    <w:p w:rsidR="00542FA7" w:rsidRDefault="00542FA7" w:rsidP="00542FA7">
      <w:pPr>
        <w:spacing w:line="360" w:lineRule="auto"/>
      </w:pPr>
    </w:p>
    <w:p w:rsidR="00481E3E" w:rsidRDefault="00E7276C" w:rsidP="00C85F46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והשירותים החברתיים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8B68FD" w:rsidRDefault="00D12EE8" w:rsidP="00621A20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מצ"ב החומר המבוקש.</w:t>
      </w:r>
    </w:p>
    <w:p w:rsidR="00D134C7" w:rsidRDefault="00D134C7" w:rsidP="00D134C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 xml:space="preserve">נציין כי </w:t>
      </w:r>
      <w:r w:rsidRPr="00D134C7">
        <w:rPr>
          <w:rFonts w:ascii="David" w:eastAsia="Calibri" w:hAnsi="David" w:cs="David"/>
          <w:noProof/>
          <w:rtl/>
          <w:lang w:bidi="he-IL"/>
        </w:rPr>
        <w:t xml:space="preserve">רכישה זו מתבצע ע"י כל מחוז לפי צורכי יח' המשרד באותו מחוז . רכישה זו אינה מגובה במכרז חשכ"ל . רכישת כוסות משני הסוגים מתבצעת לפי מכרז המשרדי ,רכישת צלחות וסכום – לפי הצעות מחיר . </w:t>
      </w:r>
    </w:p>
    <w:p w:rsidR="00D134C7" w:rsidRDefault="00D134C7" w:rsidP="00D134C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79E0F95B" wp14:editId="46CB1D0E">
            <wp:simplePos x="0" y="0"/>
            <wp:positionH relativeFrom="margin">
              <wp:posOffset>1465580</wp:posOffset>
            </wp:positionH>
            <wp:positionV relativeFrom="paragraph">
              <wp:posOffset>1532255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vid" w:eastAsia="Calibri" w:hAnsi="David" w:cs="David" w:hint="cs"/>
          <w:noProof/>
          <w:rtl/>
          <w:lang w:bidi="he-IL"/>
        </w:rPr>
        <w:t xml:space="preserve">כמו כן </w:t>
      </w:r>
      <w:r w:rsidRPr="00D134C7">
        <w:rPr>
          <w:rFonts w:ascii="David" w:eastAsia="Calibri" w:hAnsi="David" w:cs="David"/>
          <w:noProof/>
          <w:rtl/>
          <w:lang w:bidi="he-IL"/>
        </w:rPr>
        <w:t xml:space="preserve">ניתן לראות ירידה בכמויות הרכש של פריטים אלו בין השנים 2019 ל-2021 כמעט בכל מחוזות המשרד. </w:t>
      </w:r>
    </w:p>
    <w:p w:rsidR="00D134C7" w:rsidRDefault="00D134C7" w:rsidP="00D134C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>השירות סבור</w:t>
      </w:r>
      <w:r w:rsidRPr="00D134C7">
        <w:rPr>
          <w:rFonts w:ascii="David" w:eastAsia="Calibri" w:hAnsi="David" w:cs="David"/>
          <w:noProof/>
          <w:rtl/>
          <w:lang w:bidi="he-IL"/>
        </w:rPr>
        <w:t xml:space="preserve"> שגם תקופת "קורונה" בה נוכחות עובדי המשרד דלילה יותר (על פי הנחיות עבודה מהבית ) משפיעה על מגמת ירידה בצריכה.  </w:t>
      </w:r>
    </w:p>
    <w:p w:rsidR="008523A7" w:rsidRPr="00621A20" w:rsidRDefault="008523A7" w:rsidP="008523A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>
        <w:rPr>
          <w:rFonts w:ascii="David" w:eastAsia="Calibri" w:hAnsi="David" w:cs="David" w:hint="cs"/>
          <w:noProof/>
          <w:rtl/>
          <w:lang w:bidi="he-IL"/>
        </w:rPr>
        <w:t xml:space="preserve">בנוסף נהביר כי </w:t>
      </w:r>
      <w:r w:rsidRPr="008523A7">
        <w:rPr>
          <w:rFonts w:ascii="David" w:eastAsia="Calibri" w:hAnsi="David" w:cs="David"/>
          <w:noProof/>
          <w:rtl/>
        </w:rPr>
        <w:t>שה</w:t>
      </w:r>
      <w:r>
        <w:rPr>
          <w:rFonts w:ascii="David" w:eastAsia="Calibri" w:hAnsi="David" w:cs="David" w:hint="cs"/>
          <w:noProof/>
          <w:rtl/>
          <w:lang w:bidi="he-IL"/>
        </w:rPr>
        <w:t>נתונים</w:t>
      </w:r>
      <w:bookmarkStart w:id="0" w:name="_GoBack"/>
      <w:bookmarkEnd w:id="0"/>
      <w:r w:rsidRPr="008523A7">
        <w:rPr>
          <w:rFonts w:ascii="David" w:eastAsia="Calibri" w:hAnsi="David" w:cs="David"/>
          <w:noProof/>
          <w:rtl/>
        </w:rPr>
        <w:t xml:space="preserve"> מתייחסים לחבילות ולא למוצרים בודדים.</w:t>
      </w:r>
    </w:p>
    <w:sectPr w:rsidR="008523A7" w:rsidRPr="00621A20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FAC9E0C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mD8U1tgAAAABAQAADwAAAGRycy9kb3ducmV2LnhtbEyPT0vDQBDF74LfYRnBm91YpISYSSkFvQk2&#10;9dDjJDv5o9nZmN2m8du7etHLwOM93vtNvl3soGaefO8E4X6VgGKpnemlRXg7Pt2loHwgMTQ4YYQv&#10;9rAtrq9yyoy7yIHnMrQqlojPCKELYcy09nXHlvzKjSzRa9xkKUQ5tdpMdInldtDrJNloS73EhY5G&#10;3ndcf5Rni7B/qZrP0lW7w/P7q56PzemUugfE25tl9wgq8BL+wvCDH9GhiEyVO4vxakCIj4TfG70N&#10;qAohXaegi1z/Jy++A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Jg/FNbYAAAAAQEA&#10;AA8AAAAAAAAAAAAAAAAAZgQAAGRycy9kb3ducmV2LnhtbFBLBQYAAAAABAAEAPMAAABr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2230AE" w:rsidRDefault="00E977ED" w:rsidP="008C0EB8">
    <w:pPr>
      <w:pStyle w:val="a3"/>
      <w:tabs>
        <w:tab w:val="clear" w:pos="4153"/>
        <w:tab w:val="clear" w:pos="8306"/>
      </w:tabs>
      <w:ind w:left="-663" w:right="611"/>
      <w:jc w:val="right"/>
    </w:pPr>
    <w:r>
      <w:rPr>
        <w:noProof/>
        <w:lang w:bidi="he-IL"/>
      </w:rPr>
      <w:drawing>
        <wp:inline distT="0" distB="0" distL="0" distR="0" wp14:anchorId="4439A4BA" wp14:editId="727139ED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47568"/>
    <w:rsid w:val="00160434"/>
    <w:rsid w:val="00194300"/>
    <w:rsid w:val="001A75DD"/>
    <w:rsid w:val="001B53A2"/>
    <w:rsid w:val="001B68C1"/>
    <w:rsid w:val="001E5047"/>
    <w:rsid w:val="001E60D8"/>
    <w:rsid w:val="002035A2"/>
    <w:rsid w:val="00265234"/>
    <w:rsid w:val="00286B82"/>
    <w:rsid w:val="002C139F"/>
    <w:rsid w:val="002C6374"/>
    <w:rsid w:val="002E4173"/>
    <w:rsid w:val="0032703F"/>
    <w:rsid w:val="00386C58"/>
    <w:rsid w:val="003E789F"/>
    <w:rsid w:val="003F424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523A7"/>
    <w:rsid w:val="00882101"/>
    <w:rsid w:val="00885F38"/>
    <w:rsid w:val="008B2B0C"/>
    <w:rsid w:val="008B68FD"/>
    <w:rsid w:val="008D2876"/>
    <w:rsid w:val="00944398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12EE8"/>
    <w:rsid w:val="00D134C7"/>
    <w:rsid w:val="00D25E0E"/>
    <w:rsid w:val="00D44EF6"/>
    <w:rsid w:val="00D60518"/>
    <w:rsid w:val="00DA2B7C"/>
    <w:rsid w:val="00E07FE3"/>
    <w:rsid w:val="00E14DEA"/>
    <w:rsid w:val="00E53A97"/>
    <w:rsid w:val="00E7276C"/>
    <w:rsid w:val="00E9281D"/>
    <w:rsid w:val="00E977ED"/>
    <w:rsid w:val="00EA6ED8"/>
    <w:rsid w:val="00EC1BCA"/>
    <w:rsid w:val="00EE3732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F4B5789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7CAB-9D2C-4FF3-BF61-34196238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4</cp:revision>
  <dcterms:created xsi:type="dcterms:W3CDTF">2021-07-20T10:34:00Z</dcterms:created>
  <dcterms:modified xsi:type="dcterms:W3CDTF">2021-07-21T10:44:00Z</dcterms:modified>
</cp:coreProperties>
</file>